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FED" w:rsidRDefault="0046363E">
      <w:pPr>
        <w:pStyle w:val="BodyText"/>
        <w:rPr>
          <w:rFonts w:ascii="Times New Roman"/>
          <w:sz w:val="20"/>
        </w:rPr>
      </w:pPr>
      <w:r>
        <w:pict>
          <v:group id="_x0000_s1028" style="position:absolute;margin-left:0;margin-top:0;width:418.85pt;height:122.3pt;z-index:-251658752;mso-position-horizontal-relative:page;mso-position-vertical-relative:page" coordsize="8377,2446">
            <v:rect id="_x0000_s1036" style="position:absolute;left:10;top:10;width:8357;height:2192" fillcolor="#f0ca00" stroked="f"/>
            <v:rect id="_x0000_s1035" style="position:absolute;left:10;top:10;width:8357;height:2192" filled="f" strokecolor="#ecc91a" strokeweight="1pt"/>
            <v:shape id="_x0000_s1034" style="position:absolute;left:1339;top:135;width:1157;height:2300" coordorigin="1339,136" coordsize="1157,2300" path="m1339,136r,2300l2496,1278,1339,136xe" fillcolor="#304482" stroked="f">
              <v:path arrowok="t"/>
            </v:shape>
            <v:shape id="_x0000_s1033" style="position:absolute;left:1339;top:135;width:1157;height:2300" coordorigin="1339,136" coordsize="1157,2300" path="m1339,136r,2300l2496,1278,1339,136xe" filled="f" strokecolor="#2d4480" strokeweight="1pt">
              <v:path arrowok="t"/>
            </v:shape>
            <v:shape id="_x0000_s1032" style="position:absolute;left:191;top:136;width:1128;height:2300" coordorigin="192,136" coordsize="1128,2300" path="m1319,136l192,1286,1319,2436r,-2300xe" fillcolor="#00929f" stroked="f">
              <v:path arrowok="t"/>
            </v:shape>
            <v:shape id="_x0000_s1031" style="position:absolute;left:191;top:136;width:1128;height:2300" coordorigin="192,136" coordsize="1128,2300" path="m1319,136r,2300l192,1286,1319,136xe" filled="f" strokecolor="#4293a2" strokeweight="1pt">
              <v:path arrowok="t"/>
            </v:shape>
            <v:shapetype id="_x0000_t202" coordsize="21600,21600" o:spt="202" path="m,l,21600r21600,l21600,xe">
              <v:stroke joinstyle="miter"/>
              <v:path gradientshapeok="t" o:connecttype="rect"/>
            </v:shapetype>
            <v:shape id="_x0000_s1030" type="#_x0000_t202" style="position:absolute;left:544;top:754;width:1590;height:918" filled="f" stroked="f">
              <v:textbox inset="0,0,0,0">
                <w:txbxContent>
                  <w:p w:rsidR="001B7FED" w:rsidRDefault="0046363E">
                    <w:pPr>
                      <w:spacing w:line="242" w:lineRule="auto"/>
                      <w:ind w:right="18"/>
                      <w:jc w:val="center"/>
                      <w:rPr>
                        <w:rFonts w:ascii="Frutiger LT Std 55 Roman"/>
                        <w:sz w:val="25"/>
                      </w:rPr>
                    </w:pPr>
                    <w:r>
                      <w:rPr>
                        <w:rFonts w:ascii="Frutiger LT Std 55 Roman"/>
                        <w:color w:val="FFFFFF"/>
                        <w:sz w:val="26"/>
                      </w:rPr>
                      <w:t xml:space="preserve">Academic Skills and </w:t>
                    </w:r>
                    <w:r>
                      <w:rPr>
                        <w:rFonts w:ascii="Frutiger LT Std 55 Roman"/>
                        <w:color w:val="FFFFFF"/>
                        <w:sz w:val="25"/>
                      </w:rPr>
                      <w:t>Development</w:t>
                    </w:r>
                  </w:p>
                </w:txbxContent>
              </v:textbox>
            </v:shape>
            <v:shape id="_x0000_s1029" type="#_x0000_t202" style="position:absolute;left:2834;top:728;width:4666;height:1269" filled="f" stroked="f">
              <v:textbox inset="0,0,0,0">
                <w:txbxContent>
                  <w:p w:rsidR="001B7FED" w:rsidRDefault="0046363E">
                    <w:pPr>
                      <w:rPr>
                        <w:rFonts w:ascii="Frutiger LT Std 55 Roman"/>
                        <w:sz w:val="28"/>
                      </w:rPr>
                    </w:pPr>
                    <w:r>
                      <w:rPr>
                        <w:rFonts w:ascii="Frutiger LT Std 55 Roman"/>
                        <w:color w:val="26437E"/>
                        <w:sz w:val="28"/>
                      </w:rPr>
                      <w:t>Quick guide to</w:t>
                    </w:r>
                  </w:p>
                  <w:p w:rsidR="001B7FED" w:rsidRDefault="0046363E">
                    <w:pPr>
                      <w:spacing w:before="30" w:line="242" w:lineRule="auto"/>
                      <w:rPr>
                        <w:rFonts w:ascii="Frutiger LT Std 55 Roman"/>
                        <w:sz w:val="38"/>
                      </w:rPr>
                    </w:pPr>
                    <w:r>
                      <w:rPr>
                        <w:rFonts w:ascii="Frutiger LT Std 55 Roman"/>
                        <w:color w:val="26437E"/>
                        <w:sz w:val="38"/>
                      </w:rPr>
                      <w:t>Literature Searching using Academic Databases</w:t>
                    </w:r>
                  </w:p>
                </w:txbxContent>
              </v:textbox>
            </v:shape>
            <w10:wrap anchorx="page" anchory="page"/>
          </v:group>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45pt;margin-top:20.55pt;width:63pt;height:18pt;rotation:315;z-index:-251657728;mso-position-horizontal-relative:page;mso-position-vertical-relative:page" fillcolor="#2f92a1" stroked="f">
            <o:extrusion v:ext="view" autorotationcenter="t"/>
            <v:textpath style="font-family:&quot;Frutiger LT Std 55 Roman&quot;;font-size:18pt;font-weight:bold;v-text-kern:t;mso-text-shadow:auto" string="SPLASH"/>
            <w10:wrap anchorx="page" anchory="page"/>
          </v:shape>
        </w:pict>
      </w:r>
    </w:p>
    <w:p w:rsidR="001B7FED" w:rsidRDefault="001B7FED">
      <w:pPr>
        <w:pStyle w:val="BodyText"/>
        <w:rPr>
          <w:rFonts w:ascii="Times New Roman"/>
          <w:sz w:val="20"/>
        </w:rPr>
      </w:pPr>
    </w:p>
    <w:p w:rsidR="001B7FED" w:rsidRDefault="001B7FED">
      <w:pPr>
        <w:pStyle w:val="BodyText"/>
        <w:rPr>
          <w:rFonts w:ascii="Times New Roman"/>
          <w:sz w:val="20"/>
        </w:rPr>
      </w:pPr>
    </w:p>
    <w:p w:rsidR="001B7FED" w:rsidRDefault="001B7FED">
      <w:pPr>
        <w:pStyle w:val="BodyText"/>
        <w:rPr>
          <w:rFonts w:ascii="Times New Roman"/>
          <w:sz w:val="20"/>
        </w:rPr>
      </w:pPr>
    </w:p>
    <w:p w:rsidR="001B7FED" w:rsidRDefault="001B7FED">
      <w:pPr>
        <w:pStyle w:val="BodyText"/>
        <w:rPr>
          <w:rFonts w:ascii="Times New Roman"/>
          <w:sz w:val="20"/>
        </w:rPr>
      </w:pPr>
    </w:p>
    <w:p w:rsidR="001B7FED" w:rsidRDefault="001B7FED">
      <w:pPr>
        <w:pStyle w:val="BodyText"/>
        <w:rPr>
          <w:rFonts w:ascii="Times New Roman"/>
          <w:sz w:val="20"/>
        </w:rPr>
      </w:pPr>
    </w:p>
    <w:p w:rsidR="001B7FED" w:rsidRDefault="001B7FED">
      <w:pPr>
        <w:pStyle w:val="BodyText"/>
        <w:rPr>
          <w:rFonts w:ascii="Times New Roman"/>
          <w:sz w:val="20"/>
        </w:rPr>
      </w:pPr>
    </w:p>
    <w:p w:rsidR="001B7FED" w:rsidRDefault="001B7FED">
      <w:pPr>
        <w:pStyle w:val="BodyText"/>
        <w:rPr>
          <w:rFonts w:ascii="Times New Roman"/>
          <w:sz w:val="20"/>
        </w:rPr>
      </w:pPr>
    </w:p>
    <w:p w:rsidR="001B7FED" w:rsidRDefault="001B7FED">
      <w:pPr>
        <w:pStyle w:val="BodyText"/>
        <w:rPr>
          <w:rFonts w:ascii="Times New Roman"/>
          <w:sz w:val="20"/>
        </w:rPr>
      </w:pPr>
    </w:p>
    <w:p w:rsidR="001B7FED" w:rsidRDefault="001B7FED">
      <w:pPr>
        <w:pStyle w:val="BodyText"/>
        <w:spacing w:before="1"/>
        <w:rPr>
          <w:rFonts w:ascii="Times New Roman"/>
          <w:sz w:val="29"/>
        </w:rPr>
      </w:pPr>
    </w:p>
    <w:p w:rsidR="001B7FED" w:rsidRDefault="0046363E">
      <w:pPr>
        <w:pStyle w:val="BodyText"/>
        <w:spacing w:before="112" w:line="225" w:lineRule="auto"/>
        <w:ind w:left="280" w:right="912"/>
      </w:pPr>
      <w:r>
        <w:rPr>
          <w:color w:val="26437E"/>
        </w:rPr>
        <w:t>To access good quality academic material beyond that given on your reading list, you will need to carry out a literature search. Academic databases enable you to search multiple journals and other sources at once.</w:t>
      </w:r>
    </w:p>
    <w:p w:rsidR="001B7FED" w:rsidRDefault="0046363E">
      <w:pPr>
        <w:pStyle w:val="BodyText"/>
        <w:spacing w:before="101"/>
        <w:ind w:left="280"/>
      </w:pPr>
      <w:bookmarkStart w:id="0" w:name="_GoBack"/>
      <w:r>
        <w:rPr>
          <w:color w:val="26437E"/>
        </w:rPr>
        <w:t>There are several steps to performing an e</w:t>
      </w:r>
      <w:r>
        <w:rPr>
          <w:color w:val="26437E"/>
        </w:rPr>
        <w:t>ffective literature search.</w:t>
      </w:r>
    </w:p>
    <w:bookmarkEnd w:id="0"/>
    <w:p w:rsidR="001B7FED" w:rsidRDefault="0046363E">
      <w:pPr>
        <w:pStyle w:val="Heading1"/>
        <w:numPr>
          <w:ilvl w:val="0"/>
          <w:numId w:val="1"/>
        </w:numPr>
        <w:tabs>
          <w:tab w:val="left" w:pos="525"/>
        </w:tabs>
        <w:spacing w:before="149"/>
        <w:ind w:firstLine="0"/>
        <w:rPr>
          <w:color w:val="26437E"/>
        </w:rPr>
      </w:pPr>
      <w:r>
        <w:rPr>
          <w:color w:val="26437E"/>
        </w:rPr>
        <w:t>Decide on a search</w:t>
      </w:r>
      <w:r>
        <w:rPr>
          <w:color w:val="26437E"/>
          <w:spacing w:val="-1"/>
        </w:rPr>
        <w:t xml:space="preserve"> </w:t>
      </w:r>
      <w:r>
        <w:rPr>
          <w:color w:val="26437E"/>
        </w:rPr>
        <w:t>topic</w:t>
      </w:r>
    </w:p>
    <w:p w:rsidR="001B7FED" w:rsidRDefault="0046363E">
      <w:pPr>
        <w:pStyle w:val="BodyText"/>
        <w:spacing w:line="240" w:lineRule="exact"/>
        <w:ind w:left="280"/>
      </w:pPr>
      <w:r>
        <w:rPr>
          <w:color w:val="26437E"/>
        </w:rPr>
        <w:t>Formulate a question or hypothesis to define the topic.</w:t>
      </w:r>
    </w:p>
    <w:p w:rsidR="001B7FED" w:rsidRDefault="0046363E">
      <w:pPr>
        <w:pStyle w:val="BodyText"/>
        <w:spacing w:before="5" w:line="225" w:lineRule="auto"/>
        <w:ind w:left="280" w:right="912"/>
      </w:pPr>
      <w:r>
        <w:rPr>
          <w:color w:val="26437E"/>
        </w:rPr>
        <w:t>For example, you wish to find information on the effect smoking has on children with asthma. Your question might be “What are the effects of passive smoking on children with asthma?”.</w:t>
      </w:r>
    </w:p>
    <w:p w:rsidR="001B7FED" w:rsidRDefault="0046363E">
      <w:pPr>
        <w:pStyle w:val="Heading1"/>
        <w:numPr>
          <w:ilvl w:val="0"/>
          <w:numId w:val="1"/>
        </w:numPr>
        <w:tabs>
          <w:tab w:val="left" w:pos="525"/>
        </w:tabs>
        <w:ind w:firstLine="0"/>
        <w:rPr>
          <w:color w:val="26437E"/>
        </w:rPr>
      </w:pPr>
      <w:r>
        <w:rPr>
          <w:color w:val="26437E"/>
        </w:rPr>
        <w:t>Consider the keywords to use for your</w:t>
      </w:r>
      <w:r>
        <w:rPr>
          <w:color w:val="26437E"/>
          <w:spacing w:val="-2"/>
        </w:rPr>
        <w:t xml:space="preserve"> </w:t>
      </w:r>
      <w:r>
        <w:rPr>
          <w:color w:val="26437E"/>
        </w:rPr>
        <w:t>search</w:t>
      </w:r>
    </w:p>
    <w:p w:rsidR="001B7FED" w:rsidRDefault="0046363E">
      <w:pPr>
        <w:pStyle w:val="BodyText"/>
        <w:spacing w:before="4" w:line="225" w:lineRule="auto"/>
        <w:ind w:left="280" w:right="765"/>
      </w:pPr>
      <w:r>
        <w:rPr>
          <w:color w:val="26437E"/>
        </w:rPr>
        <w:t>In the above example, the m</w:t>
      </w:r>
      <w:r>
        <w:rPr>
          <w:color w:val="26437E"/>
        </w:rPr>
        <w:t>ain keywords are: passive smoking, children, and asthma. Remember to think about:</w:t>
      </w:r>
    </w:p>
    <w:p w:rsidR="001B7FED" w:rsidRDefault="0046363E">
      <w:pPr>
        <w:pStyle w:val="ListParagraph"/>
        <w:numPr>
          <w:ilvl w:val="1"/>
          <w:numId w:val="1"/>
        </w:numPr>
        <w:tabs>
          <w:tab w:val="left" w:pos="847"/>
        </w:tabs>
        <w:spacing w:line="240" w:lineRule="auto"/>
        <w:ind w:hanging="283"/>
      </w:pPr>
      <w:r>
        <w:rPr>
          <w:b/>
          <w:color w:val="26437E"/>
        </w:rPr>
        <w:t xml:space="preserve">Related terms </w:t>
      </w:r>
      <w:r>
        <w:rPr>
          <w:color w:val="26437E"/>
        </w:rPr>
        <w:t>- e.g. smoking habits, cigarette smoke,</w:t>
      </w:r>
      <w:r>
        <w:rPr>
          <w:color w:val="26437E"/>
          <w:spacing w:val="-3"/>
        </w:rPr>
        <w:t xml:space="preserve"> </w:t>
      </w:r>
      <w:r>
        <w:rPr>
          <w:color w:val="26437E"/>
        </w:rPr>
        <w:t>nicotine.</w:t>
      </w:r>
    </w:p>
    <w:p w:rsidR="001B7FED" w:rsidRDefault="0046363E">
      <w:pPr>
        <w:pStyle w:val="ListParagraph"/>
        <w:numPr>
          <w:ilvl w:val="1"/>
          <w:numId w:val="1"/>
        </w:numPr>
        <w:tabs>
          <w:tab w:val="left" w:pos="847"/>
        </w:tabs>
        <w:spacing w:before="49" w:line="225" w:lineRule="auto"/>
        <w:ind w:right="820" w:hanging="283"/>
      </w:pPr>
      <w:r>
        <w:rPr>
          <w:b/>
          <w:color w:val="26437E"/>
        </w:rPr>
        <w:t xml:space="preserve">Acronyms </w:t>
      </w:r>
      <w:r>
        <w:rPr>
          <w:color w:val="26437E"/>
        </w:rPr>
        <w:t xml:space="preserve">- this is where your keywords can be condensed into a set of capital letters e.g. </w:t>
      </w:r>
      <w:r>
        <w:rPr>
          <w:color w:val="26437E"/>
          <w:spacing w:val="-10"/>
        </w:rPr>
        <w:t xml:space="preserve">VAT </w:t>
      </w:r>
      <w:r>
        <w:rPr>
          <w:color w:val="26437E"/>
        </w:rPr>
        <w:t xml:space="preserve">or </w:t>
      </w:r>
      <w:r>
        <w:rPr>
          <w:color w:val="26437E"/>
          <w:spacing w:val="-3"/>
        </w:rPr>
        <w:t xml:space="preserve">Value </w:t>
      </w:r>
      <w:r>
        <w:rPr>
          <w:color w:val="26437E"/>
        </w:rPr>
        <w:t xml:space="preserve">Added </w:t>
      </w:r>
      <w:r>
        <w:rPr>
          <w:color w:val="26437E"/>
          <w:spacing w:val="-9"/>
        </w:rPr>
        <w:t xml:space="preserve">Tax </w:t>
      </w:r>
      <w:r>
        <w:rPr>
          <w:color w:val="26437E"/>
        </w:rPr>
        <w:t>- use both the full term and the acronym when</w:t>
      </w:r>
      <w:r>
        <w:rPr>
          <w:color w:val="26437E"/>
          <w:spacing w:val="-1"/>
        </w:rPr>
        <w:t xml:space="preserve"> </w:t>
      </w:r>
      <w:r>
        <w:rPr>
          <w:color w:val="26437E"/>
        </w:rPr>
        <w:t>searching.</w:t>
      </w:r>
    </w:p>
    <w:p w:rsidR="001B7FED" w:rsidRDefault="0046363E">
      <w:pPr>
        <w:pStyle w:val="ListParagraph"/>
        <w:numPr>
          <w:ilvl w:val="1"/>
          <w:numId w:val="1"/>
        </w:numPr>
        <w:tabs>
          <w:tab w:val="left" w:pos="847"/>
        </w:tabs>
        <w:spacing w:line="240" w:lineRule="auto"/>
        <w:ind w:hanging="283"/>
      </w:pPr>
      <w:r>
        <w:rPr>
          <w:b/>
          <w:color w:val="26437E"/>
        </w:rPr>
        <w:t xml:space="preserve">Alternative spellings </w:t>
      </w:r>
      <w:r>
        <w:rPr>
          <w:color w:val="26437E"/>
        </w:rPr>
        <w:t>- include UK and US e.g. “</w:t>
      </w:r>
      <w:proofErr w:type="spellStart"/>
      <w:r>
        <w:rPr>
          <w:color w:val="26437E"/>
        </w:rPr>
        <w:t>color</w:t>
      </w:r>
      <w:proofErr w:type="spellEnd"/>
      <w:r>
        <w:rPr>
          <w:color w:val="26437E"/>
        </w:rPr>
        <w:t xml:space="preserve"> or colour”</w:t>
      </w:r>
    </w:p>
    <w:p w:rsidR="001B7FED" w:rsidRDefault="0046363E">
      <w:pPr>
        <w:pStyle w:val="ListParagraph"/>
        <w:numPr>
          <w:ilvl w:val="1"/>
          <w:numId w:val="1"/>
        </w:numPr>
        <w:tabs>
          <w:tab w:val="left" w:pos="847"/>
        </w:tabs>
        <w:spacing w:before="36" w:line="240" w:lineRule="auto"/>
        <w:ind w:hanging="283"/>
      </w:pPr>
      <w:r>
        <w:rPr>
          <w:b/>
          <w:color w:val="26437E"/>
        </w:rPr>
        <w:t xml:space="preserve">Possible changes of place names </w:t>
      </w:r>
      <w:r>
        <w:rPr>
          <w:color w:val="26437E"/>
        </w:rPr>
        <w:t>- e.g. Peking to</w:t>
      </w:r>
      <w:r>
        <w:rPr>
          <w:color w:val="26437E"/>
          <w:spacing w:val="-1"/>
        </w:rPr>
        <w:t xml:space="preserve"> </w:t>
      </w:r>
      <w:r>
        <w:rPr>
          <w:color w:val="26437E"/>
        </w:rPr>
        <w:t>Beijing.</w:t>
      </w:r>
    </w:p>
    <w:p w:rsidR="001B7FED" w:rsidRDefault="0046363E">
      <w:pPr>
        <w:pStyle w:val="Heading1"/>
        <w:numPr>
          <w:ilvl w:val="0"/>
          <w:numId w:val="1"/>
        </w:numPr>
        <w:tabs>
          <w:tab w:val="left" w:pos="525"/>
        </w:tabs>
        <w:spacing w:before="212"/>
        <w:ind w:firstLine="0"/>
        <w:rPr>
          <w:color w:val="26437E"/>
        </w:rPr>
      </w:pPr>
      <w:r>
        <w:rPr>
          <w:color w:val="26437E"/>
        </w:rPr>
        <w:t>Select a Database</w:t>
      </w:r>
    </w:p>
    <w:p w:rsidR="001B7FED" w:rsidRDefault="0046363E">
      <w:pPr>
        <w:pStyle w:val="BodyText"/>
        <w:spacing w:before="5" w:line="225" w:lineRule="auto"/>
        <w:ind w:left="280" w:right="765"/>
      </w:pPr>
      <w:r>
        <w:rPr>
          <w:color w:val="26437E"/>
        </w:rPr>
        <w:t xml:space="preserve">You can access databases relevant to your subject via </w:t>
      </w:r>
      <w:r>
        <w:rPr>
          <w:color w:val="26437E"/>
        </w:rPr>
        <w:t>the library website and on your subject page. It is good practice to search more than one relevant database.</w:t>
      </w:r>
    </w:p>
    <w:p w:rsidR="001B7FED" w:rsidRDefault="0046363E">
      <w:pPr>
        <w:pStyle w:val="Heading1"/>
        <w:numPr>
          <w:ilvl w:val="0"/>
          <w:numId w:val="1"/>
        </w:numPr>
        <w:tabs>
          <w:tab w:val="left" w:pos="525"/>
        </w:tabs>
        <w:ind w:firstLine="0"/>
        <w:rPr>
          <w:color w:val="26437E"/>
        </w:rPr>
      </w:pPr>
      <w:r>
        <w:rPr>
          <w:color w:val="26437E"/>
        </w:rPr>
        <w:t>Performing your</w:t>
      </w:r>
      <w:r>
        <w:rPr>
          <w:color w:val="26437E"/>
          <w:spacing w:val="-1"/>
        </w:rPr>
        <w:t xml:space="preserve"> </w:t>
      </w:r>
      <w:r>
        <w:rPr>
          <w:color w:val="26437E"/>
        </w:rPr>
        <w:t>search</w:t>
      </w:r>
    </w:p>
    <w:p w:rsidR="001B7FED" w:rsidRDefault="0046363E">
      <w:pPr>
        <w:pStyle w:val="BodyText"/>
        <w:spacing w:line="240" w:lineRule="exact"/>
        <w:ind w:left="280"/>
      </w:pPr>
      <w:r>
        <w:rPr>
          <w:color w:val="26437E"/>
        </w:rPr>
        <w:t>Your search might look something like this:</w:t>
      </w:r>
    </w:p>
    <w:p w:rsidR="001B7FED" w:rsidRDefault="0046363E">
      <w:pPr>
        <w:pStyle w:val="BodyText"/>
        <w:spacing w:line="248" w:lineRule="exact"/>
        <w:ind w:left="280"/>
      </w:pPr>
      <w:r>
        <w:rPr>
          <w:color w:val="2F92A1"/>
        </w:rPr>
        <w:t>“passive smoking” AND (asthma* OR respirator*) AND (child* OR infant)</w:t>
      </w:r>
    </w:p>
    <w:p w:rsidR="001B7FED" w:rsidRDefault="0046363E">
      <w:pPr>
        <w:spacing w:before="223" w:line="249" w:lineRule="exact"/>
        <w:ind w:left="280"/>
        <w:rPr>
          <w:i/>
        </w:rPr>
      </w:pPr>
      <w:r>
        <w:rPr>
          <w:i/>
          <w:color w:val="2F92A1"/>
        </w:rPr>
        <w:t>How is this search constructed?</w:t>
      </w:r>
    </w:p>
    <w:p w:rsidR="001B7FED" w:rsidRDefault="0046363E">
      <w:pPr>
        <w:pStyle w:val="BodyText"/>
        <w:spacing w:before="4" w:line="225" w:lineRule="auto"/>
        <w:ind w:left="280" w:right="1003"/>
      </w:pPr>
      <w:r>
        <w:rPr>
          <w:color w:val="26437E"/>
          <w:spacing w:val="-4"/>
        </w:rPr>
        <w:t xml:space="preserve">The (AND, </w:t>
      </w:r>
      <w:r>
        <w:rPr>
          <w:color w:val="26437E"/>
          <w:spacing w:val="-3"/>
        </w:rPr>
        <w:t xml:space="preserve">OR </w:t>
      </w:r>
      <w:proofErr w:type="spellStart"/>
      <w:r>
        <w:rPr>
          <w:color w:val="26437E"/>
          <w:spacing w:val="-3"/>
        </w:rPr>
        <w:t>or</w:t>
      </w:r>
      <w:proofErr w:type="spellEnd"/>
      <w:r>
        <w:rPr>
          <w:color w:val="26437E"/>
          <w:spacing w:val="-3"/>
        </w:rPr>
        <w:t xml:space="preserve"> </w:t>
      </w:r>
      <w:r>
        <w:rPr>
          <w:color w:val="26437E"/>
          <w:spacing w:val="-4"/>
        </w:rPr>
        <w:t xml:space="preserve">NOT) </w:t>
      </w:r>
      <w:r>
        <w:rPr>
          <w:color w:val="26437E"/>
          <w:spacing w:val="-5"/>
        </w:rPr>
        <w:t xml:space="preserve">are Boolean operators </w:t>
      </w:r>
      <w:r>
        <w:rPr>
          <w:color w:val="26437E"/>
          <w:spacing w:val="-4"/>
        </w:rPr>
        <w:t xml:space="preserve">and </w:t>
      </w:r>
      <w:r>
        <w:rPr>
          <w:color w:val="26437E"/>
          <w:spacing w:val="-5"/>
        </w:rPr>
        <w:t xml:space="preserve">combine search terms. </w:t>
      </w:r>
      <w:r>
        <w:rPr>
          <w:color w:val="26437E"/>
        </w:rPr>
        <w:t>A truncation character (*) retrieves varying endings of your search</w:t>
      </w:r>
      <w:r>
        <w:rPr>
          <w:color w:val="26437E"/>
          <w:spacing w:val="-8"/>
        </w:rPr>
        <w:t xml:space="preserve"> </w:t>
      </w:r>
      <w:r>
        <w:rPr>
          <w:color w:val="26437E"/>
        </w:rPr>
        <w:t>term</w:t>
      </w:r>
    </w:p>
    <w:p w:rsidR="001B7FED" w:rsidRDefault="0046363E">
      <w:pPr>
        <w:pStyle w:val="BodyText"/>
        <w:spacing w:line="243" w:lineRule="exact"/>
        <w:ind w:left="280"/>
      </w:pPr>
      <w:r>
        <w:rPr>
          <w:color w:val="26437E"/>
        </w:rPr>
        <w:t>e.g. Child* will retrieve articles that include the words:</w:t>
      </w:r>
    </w:p>
    <w:p w:rsidR="001B7FED" w:rsidRDefault="0046363E">
      <w:pPr>
        <w:pStyle w:val="BodyText"/>
        <w:spacing w:before="2"/>
        <w:rPr>
          <w:sz w:val="11"/>
        </w:rPr>
      </w:pPr>
      <w:r>
        <w:pict>
          <v:shape id="_x0000_s1026" style="position:absolute;margin-left:335.2pt;margin-top:8.45pt;width:49.05pt;height:24.65pt;z-index:251656704;mso-wrap-distance-left:0;mso-wrap-distance-right:0;mso-position-horizontal-relative:page" coordorigin="6704,169" coordsize="981,493" path="m7175,169r-471,9l7242,662,7685,170r-510,-1xe" fillcolor="#ecc91a" stroked="f">
            <v:path arrowok="t"/>
            <w10:wrap type="topAndBottom" anchorx="page"/>
          </v:shape>
        </w:pict>
      </w:r>
    </w:p>
    <w:p w:rsidR="001B7FED" w:rsidRDefault="001B7FED">
      <w:pPr>
        <w:rPr>
          <w:sz w:val="11"/>
        </w:rPr>
        <w:sectPr w:rsidR="001B7FED">
          <w:type w:val="continuous"/>
          <w:pgSz w:w="8400" w:h="11910"/>
          <w:pgMar w:top="0" w:right="0" w:bottom="0" w:left="440" w:header="720" w:footer="720" w:gutter="0"/>
          <w:cols w:space="720"/>
        </w:sectPr>
      </w:pPr>
    </w:p>
    <w:p w:rsidR="001B7FED" w:rsidRDefault="0046363E">
      <w:pPr>
        <w:pStyle w:val="BodyText"/>
        <w:spacing w:before="79"/>
        <w:ind w:left="280"/>
      </w:pPr>
      <w:r>
        <w:rPr>
          <w:color w:val="2D4480"/>
        </w:rPr>
        <w:lastRenderedPageBreak/>
        <w:t>child, children, childcare, children’s, childhood.</w:t>
      </w:r>
    </w:p>
    <w:p w:rsidR="001B7FED" w:rsidRDefault="0046363E">
      <w:pPr>
        <w:pStyle w:val="BodyText"/>
        <w:spacing w:before="231" w:line="225" w:lineRule="auto"/>
        <w:ind w:left="280" w:right="765"/>
      </w:pPr>
      <w:r>
        <w:rPr>
          <w:color w:val="2D4480"/>
        </w:rPr>
        <w:t xml:space="preserve">Wildcard symbols replace letter(s) in a word. For example, </w:t>
      </w:r>
      <w:proofErr w:type="spellStart"/>
      <w:proofErr w:type="gramStart"/>
      <w:r>
        <w:rPr>
          <w:color w:val="2D4480"/>
        </w:rPr>
        <w:t>organi</w:t>
      </w:r>
      <w:r>
        <w:rPr>
          <w:b/>
          <w:color w:val="2D4480"/>
        </w:rPr>
        <w:t>?</w:t>
      </w:r>
      <w:r>
        <w:rPr>
          <w:color w:val="2D4480"/>
        </w:rPr>
        <w:t>ation</w:t>
      </w:r>
      <w:proofErr w:type="spellEnd"/>
      <w:proofErr w:type="gramEnd"/>
      <w:r>
        <w:rPr>
          <w:color w:val="2D4480"/>
        </w:rPr>
        <w:t xml:space="preserve"> will find organisation or organization. Wildcards are very useful in dealing with spelling variations. Remember symbols used may vary</w:t>
      </w:r>
      <w:r>
        <w:rPr>
          <w:color w:val="2D4480"/>
        </w:rPr>
        <w:t xml:space="preserve"> between the different databases, always check the individual database ‘Help’ section.</w:t>
      </w:r>
    </w:p>
    <w:p w:rsidR="001B7FED" w:rsidRDefault="001B7FED">
      <w:pPr>
        <w:pStyle w:val="BodyText"/>
        <w:spacing w:before="8"/>
        <w:rPr>
          <w:sz w:val="20"/>
        </w:rPr>
      </w:pPr>
    </w:p>
    <w:p w:rsidR="001B7FED" w:rsidRDefault="0046363E">
      <w:pPr>
        <w:pStyle w:val="BodyText"/>
        <w:spacing w:line="225" w:lineRule="auto"/>
        <w:ind w:left="280" w:right="961"/>
      </w:pPr>
      <w:r>
        <w:rPr>
          <w:color w:val="2D4480"/>
        </w:rPr>
        <w:t>Quotation marks keep words in a phrase together e.g. “duty of care”. The database will allow you to select the date-range you wish to search within, and where you would</w:t>
      </w:r>
      <w:r>
        <w:rPr>
          <w:color w:val="2D4480"/>
        </w:rPr>
        <w:t xml:space="preserve"> like your keywords to appear e.g. in the title, abstract or full-text.</w:t>
      </w:r>
    </w:p>
    <w:p w:rsidR="001B7FED" w:rsidRDefault="0046363E">
      <w:pPr>
        <w:pStyle w:val="Heading1"/>
        <w:numPr>
          <w:ilvl w:val="0"/>
          <w:numId w:val="1"/>
        </w:numPr>
        <w:tabs>
          <w:tab w:val="left" w:pos="525"/>
        </w:tabs>
        <w:spacing w:before="222"/>
        <w:ind w:firstLine="0"/>
        <w:rPr>
          <w:color w:val="2D4480"/>
        </w:rPr>
      </w:pPr>
      <w:r>
        <w:rPr>
          <w:color w:val="2D4480"/>
        </w:rPr>
        <w:t>Evaluate your results and refine your</w:t>
      </w:r>
      <w:r>
        <w:rPr>
          <w:color w:val="2D4480"/>
          <w:spacing w:val="-2"/>
        </w:rPr>
        <w:t xml:space="preserve"> </w:t>
      </w:r>
      <w:r>
        <w:rPr>
          <w:color w:val="2D4480"/>
        </w:rPr>
        <w:t>search</w:t>
      </w:r>
    </w:p>
    <w:p w:rsidR="001B7FED" w:rsidRDefault="0046363E">
      <w:pPr>
        <w:pStyle w:val="BodyText"/>
        <w:spacing w:line="248" w:lineRule="exact"/>
        <w:ind w:left="280"/>
      </w:pPr>
      <w:r>
        <w:rPr>
          <w:color w:val="2D4480"/>
        </w:rPr>
        <w:t>The guide ‘Critical evaluation’ explains how to do this.</w:t>
      </w:r>
    </w:p>
    <w:p w:rsidR="001B7FED" w:rsidRDefault="0046363E">
      <w:pPr>
        <w:pStyle w:val="Heading1"/>
        <w:numPr>
          <w:ilvl w:val="0"/>
          <w:numId w:val="1"/>
        </w:numPr>
        <w:tabs>
          <w:tab w:val="left" w:pos="525"/>
        </w:tabs>
        <w:spacing w:before="219"/>
        <w:ind w:firstLine="0"/>
        <w:rPr>
          <w:color w:val="2D4480"/>
        </w:rPr>
      </w:pPr>
      <w:r>
        <w:rPr>
          <w:color w:val="2D4480"/>
        </w:rPr>
        <w:t>Find out the availability of items at</w:t>
      </w:r>
      <w:r>
        <w:rPr>
          <w:color w:val="2D4480"/>
          <w:spacing w:val="-1"/>
        </w:rPr>
        <w:t xml:space="preserve"> </w:t>
      </w:r>
      <w:r>
        <w:rPr>
          <w:color w:val="2D4480"/>
        </w:rPr>
        <w:t>Surrey</w:t>
      </w:r>
    </w:p>
    <w:p w:rsidR="001B7FED" w:rsidRDefault="0046363E">
      <w:pPr>
        <w:pStyle w:val="BodyText"/>
        <w:spacing w:before="5" w:line="225" w:lineRule="auto"/>
        <w:ind w:left="280" w:right="973"/>
      </w:pPr>
      <w:r>
        <w:rPr>
          <w:color w:val="2D4480"/>
        </w:rPr>
        <w:t>While some databases contain full tex</w:t>
      </w:r>
      <w:r>
        <w:rPr>
          <w:color w:val="2D4480"/>
        </w:rPr>
        <w:t xml:space="preserve">t articles others will require you to use the reference provided to search for the item elsewhere. </w:t>
      </w:r>
      <w:r>
        <w:rPr>
          <w:color w:val="2D4480"/>
          <w:spacing w:val="-7"/>
        </w:rPr>
        <w:t>You</w:t>
      </w:r>
      <w:r>
        <w:rPr>
          <w:color w:val="2D4480"/>
          <w:spacing w:val="-20"/>
        </w:rPr>
        <w:t xml:space="preserve"> </w:t>
      </w:r>
      <w:r>
        <w:rPr>
          <w:color w:val="2D4480"/>
        </w:rPr>
        <w:t>will need to check: is the item available from the</w:t>
      </w:r>
      <w:r>
        <w:rPr>
          <w:color w:val="2D4480"/>
          <w:spacing w:val="-2"/>
        </w:rPr>
        <w:t xml:space="preserve"> </w:t>
      </w:r>
      <w:r>
        <w:rPr>
          <w:color w:val="2D4480"/>
        </w:rPr>
        <w:t>library?</w:t>
      </w:r>
    </w:p>
    <w:p w:rsidR="001B7FED" w:rsidRDefault="001B7FED">
      <w:pPr>
        <w:pStyle w:val="BodyText"/>
        <w:spacing w:before="7"/>
        <w:rPr>
          <w:sz w:val="20"/>
        </w:rPr>
      </w:pPr>
    </w:p>
    <w:p w:rsidR="001B7FED" w:rsidRDefault="0046363E">
      <w:pPr>
        <w:pStyle w:val="BodyText"/>
        <w:spacing w:line="225" w:lineRule="auto"/>
        <w:ind w:left="280" w:right="912"/>
      </w:pPr>
      <w:r>
        <w:rPr>
          <w:color w:val="2D4480"/>
        </w:rPr>
        <w:t xml:space="preserve">To do this, you can use </w:t>
      </w:r>
      <w:proofErr w:type="spellStart"/>
      <w:r>
        <w:rPr>
          <w:color w:val="2D4480"/>
        </w:rPr>
        <w:t>SurreySearch</w:t>
      </w:r>
      <w:proofErr w:type="spellEnd"/>
      <w:r>
        <w:rPr>
          <w:color w:val="2D4480"/>
        </w:rPr>
        <w:t xml:space="preserve"> for print and electronic items. Alternatively, from within the database, click </w:t>
      </w:r>
      <w:r>
        <w:rPr>
          <w:color w:val="2F92A1"/>
        </w:rPr>
        <w:t>‘Check for Full Text’.</w:t>
      </w:r>
    </w:p>
    <w:p w:rsidR="001B7FED" w:rsidRDefault="001B7FED">
      <w:pPr>
        <w:pStyle w:val="BodyText"/>
        <w:spacing w:before="3"/>
        <w:rPr>
          <w:sz w:val="20"/>
        </w:rPr>
      </w:pPr>
    </w:p>
    <w:p w:rsidR="001B7FED" w:rsidRDefault="0046363E">
      <w:pPr>
        <w:pStyle w:val="ListParagraph"/>
        <w:numPr>
          <w:ilvl w:val="0"/>
          <w:numId w:val="1"/>
        </w:numPr>
        <w:tabs>
          <w:tab w:val="left" w:pos="499"/>
        </w:tabs>
        <w:spacing w:before="0" w:line="225" w:lineRule="auto"/>
        <w:ind w:right="786" w:firstLine="0"/>
        <w:rPr>
          <w:color w:val="2D4480"/>
        </w:rPr>
      </w:pPr>
      <w:r>
        <w:rPr>
          <w:b/>
          <w:color w:val="2D4480"/>
          <w:spacing w:val="-7"/>
        </w:rPr>
        <w:t>Make</w:t>
      </w:r>
      <w:r>
        <w:rPr>
          <w:b/>
          <w:color w:val="2D4480"/>
          <w:spacing w:val="-16"/>
        </w:rPr>
        <w:t xml:space="preserve"> </w:t>
      </w:r>
      <w:r>
        <w:rPr>
          <w:b/>
          <w:color w:val="2D4480"/>
        </w:rPr>
        <w:t>a</w:t>
      </w:r>
      <w:r>
        <w:rPr>
          <w:b/>
          <w:color w:val="2D4480"/>
          <w:spacing w:val="-16"/>
        </w:rPr>
        <w:t xml:space="preserve"> </w:t>
      </w:r>
      <w:r>
        <w:rPr>
          <w:b/>
          <w:color w:val="2D4480"/>
          <w:spacing w:val="-9"/>
        </w:rPr>
        <w:t>Resource</w:t>
      </w:r>
      <w:r>
        <w:rPr>
          <w:b/>
          <w:color w:val="2D4480"/>
          <w:spacing w:val="-16"/>
        </w:rPr>
        <w:t xml:space="preserve"> </w:t>
      </w:r>
      <w:r>
        <w:rPr>
          <w:b/>
          <w:color w:val="2D4480"/>
          <w:spacing w:val="-8"/>
        </w:rPr>
        <w:t>Sharing</w:t>
      </w:r>
      <w:r>
        <w:rPr>
          <w:b/>
          <w:color w:val="2D4480"/>
          <w:spacing w:val="-16"/>
        </w:rPr>
        <w:t xml:space="preserve"> </w:t>
      </w:r>
      <w:r>
        <w:rPr>
          <w:b/>
          <w:color w:val="2D4480"/>
          <w:spacing w:val="-8"/>
        </w:rPr>
        <w:t>Request</w:t>
      </w:r>
      <w:r>
        <w:rPr>
          <w:b/>
          <w:color w:val="2D4480"/>
          <w:spacing w:val="-16"/>
        </w:rPr>
        <w:t xml:space="preserve"> </w:t>
      </w:r>
      <w:r>
        <w:rPr>
          <w:b/>
          <w:color w:val="2D4480"/>
          <w:spacing w:val="-5"/>
        </w:rPr>
        <w:t>to</w:t>
      </w:r>
      <w:r>
        <w:rPr>
          <w:b/>
          <w:color w:val="2D4480"/>
          <w:spacing w:val="-16"/>
        </w:rPr>
        <w:t xml:space="preserve"> </w:t>
      </w:r>
      <w:r>
        <w:rPr>
          <w:b/>
          <w:color w:val="2D4480"/>
          <w:spacing w:val="-8"/>
        </w:rPr>
        <w:t>obtain</w:t>
      </w:r>
      <w:r>
        <w:rPr>
          <w:b/>
          <w:color w:val="2D4480"/>
          <w:spacing w:val="-16"/>
        </w:rPr>
        <w:t xml:space="preserve"> </w:t>
      </w:r>
      <w:r>
        <w:rPr>
          <w:b/>
          <w:color w:val="2D4480"/>
          <w:spacing w:val="-8"/>
        </w:rPr>
        <w:t>items</w:t>
      </w:r>
      <w:r>
        <w:rPr>
          <w:b/>
          <w:color w:val="2D4480"/>
          <w:spacing w:val="-16"/>
        </w:rPr>
        <w:t xml:space="preserve"> </w:t>
      </w:r>
      <w:r>
        <w:rPr>
          <w:b/>
          <w:color w:val="2D4480"/>
          <w:spacing w:val="-8"/>
        </w:rPr>
        <w:t>from</w:t>
      </w:r>
      <w:r>
        <w:rPr>
          <w:b/>
          <w:color w:val="2D4480"/>
          <w:spacing w:val="-16"/>
        </w:rPr>
        <w:t xml:space="preserve"> </w:t>
      </w:r>
      <w:r>
        <w:rPr>
          <w:b/>
          <w:color w:val="2D4480"/>
          <w:spacing w:val="-8"/>
        </w:rPr>
        <w:t>other</w:t>
      </w:r>
      <w:r>
        <w:rPr>
          <w:b/>
          <w:color w:val="2D4480"/>
          <w:spacing w:val="-16"/>
        </w:rPr>
        <w:t xml:space="preserve"> </w:t>
      </w:r>
      <w:r>
        <w:rPr>
          <w:b/>
          <w:color w:val="2D4480"/>
          <w:spacing w:val="-9"/>
        </w:rPr>
        <w:t xml:space="preserve">libraries </w:t>
      </w:r>
      <w:r>
        <w:rPr>
          <w:color w:val="2D4480"/>
        </w:rPr>
        <w:t>This is not generally required for undergraduate or Masters-level</w:t>
      </w:r>
      <w:r>
        <w:rPr>
          <w:color w:val="2D4480"/>
          <w:spacing w:val="-12"/>
        </w:rPr>
        <w:t xml:space="preserve"> </w:t>
      </w:r>
      <w:r>
        <w:rPr>
          <w:color w:val="2D4480"/>
        </w:rPr>
        <w:t>standard assignments. For dissertations or post-graduate research see advanced searching</w:t>
      </w:r>
      <w:r>
        <w:rPr>
          <w:color w:val="2D4480"/>
          <w:spacing w:val="-1"/>
        </w:rPr>
        <w:t xml:space="preserve"> </w:t>
      </w:r>
      <w:r>
        <w:rPr>
          <w:color w:val="2D4480"/>
        </w:rPr>
        <w:t>guide.</w:t>
      </w:r>
    </w:p>
    <w:p w:rsidR="001B7FED" w:rsidRDefault="0046363E">
      <w:pPr>
        <w:pStyle w:val="Heading1"/>
        <w:numPr>
          <w:ilvl w:val="0"/>
          <w:numId w:val="1"/>
        </w:numPr>
        <w:tabs>
          <w:tab w:val="left" w:pos="525"/>
        </w:tabs>
        <w:spacing w:before="222"/>
        <w:ind w:firstLine="0"/>
        <w:rPr>
          <w:color w:val="2D4480"/>
        </w:rPr>
      </w:pPr>
      <w:r>
        <w:rPr>
          <w:color w:val="2D4480"/>
        </w:rPr>
        <w:t>Further advice</w:t>
      </w:r>
    </w:p>
    <w:p w:rsidR="001B7FED" w:rsidRDefault="0046363E">
      <w:pPr>
        <w:pStyle w:val="BodyText"/>
        <w:spacing w:before="5" w:line="225" w:lineRule="auto"/>
        <w:ind w:left="280" w:right="774"/>
      </w:pPr>
      <w:r>
        <w:rPr>
          <w:color w:val="2D4480"/>
        </w:rPr>
        <w:t xml:space="preserve">Learning Development Librarians are available at SPLASH drop-in sessions </w:t>
      </w:r>
      <w:r>
        <w:rPr>
          <w:color w:val="2D4480"/>
          <w:spacing w:val="-7"/>
        </w:rPr>
        <w:t>Monday</w:t>
      </w:r>
      <w:r>
        <w:rPr>
          <w:color w:val="2D4480"/>
          <w:spacing w:val="-7"/>
        </w:rPr>
        <w:t xml:space="preserve">-Friday, </w:t>
      </w:r>
      <w:r>
        <w:rPr>
          <w:color w:val="2D4480"/>
          <w:spacing w:val="-4"/>
        </w:rPr>
        <w:t xml:space="preserve">level </w:t>
      </w:r>
      <w:r>
        <w:rPr>
          <w:color w:val="2D4480"/>
        </w:rPr>
        <w:t xml:space="preserve">1 </w:t>
      </w:r>
      <w:r>
        <w:rPr>
          <w:color w:val="2D4480"/>
          <w:spacing w:val="-3"/>
        </w:rPr>
        <w:t xml:space="preserve">of </w:t>
      </w:r>
      <w:r>
        <w:rPr>
          <w:color w:val="2D4480"/>
          <w:spacing w:val="-4"/>
        </w:rPr>
        <w:t xml:space="preserve">the </w:t>
      </w:r>
      <w:r>
        <w:rPr>
          <w:color w:val="2D4480"/>
          <w:spacing w:val="-7"/>
        </w:rPr>
        <w:t xml:space="preserve">Library, </w:t>
      </w:r>
      <w:r>
        <w:rPr>
          <w:color w:val="2D4480"/>
          <w:spacing w:val="-3"/>
        </w:rPr>
        <w:t xml:space="preserve">or </w:t>
      </w:r>
      <w:r>
        <w:rPr>
          <w:color w:val="2D4480"/>
          <w:spacing w:val="-5"/>
        </w:rPr>
        <w:t xml:space="preserve">contact </w:t>
      </w:r>
      <w:r>
        <w:rPr>
          <w:color w:val="2D4480"/>
          <w:spacing w:val="-4"/>
        </w:rPr>
        <w:t xml:space="preserve">them via </w:t>
      </w:r>
      <w:hyperlink r:id="rId5">
        <w:r>
          <w:rPr>
            <w:color w:val="2D4480"/>
            <w:spacing w:val="-7"/>
          </w:rPr>
          <w:t>splash@surrey.ac.uk</w:t>
        </w:r>
      </w:hyperlink>
    </w:p>
    <w:p w:rsidR="001B7FED" w:rsidRDefault="001B7FED">
      <w:pPr>
        <w:pStyle w:val="BodyText"/>
        <w:rPr>
          <w:sz w:val="20"/>
        </w:rPr>
      </w:pPr>
    </w:p>
    <w:p w:rsidR="001B7FED" w:rsidRDefault="001B7FED">
      <w:pPr>
        <w:pStyle w:val="BodyText"/>
        <w:rPr>
          <w:sz w:val="20"/>
        </w:rPr>
      </w:pPr>
    </w:p>
    <w:p w:rsidR="001B7FED" w:rsidRDefault="001B7FED">
      <w:pPr>
        <w:pStyle w:val="BodyText"/>
        <w:rPr>
          <w:sz w:val="20"/>
        </w:rPr>
      </w:pPr>
    </w:p>
    <w:p w:rsidR="001B7FED" w:rsidRDefault="001B7FED">
      <w:pPr>
        <w:pStyle w:val="BodyText"/>
        <w:rPr>
          <w:sz w:val="20"/>
        </w:rPr>
      </w:pPr>
    </w:p>
    <w:p w:rsidR="001B7FED" w:rsidRDefault="001B7FED">
      <w:pPr>
        <w:pStyle w:val="BodyText"/>
        <w:rPr>
          <w:sz w:val="20"/>
        </w:rPr>
      </w:pPr>
    </w:p>
    <w:p w:rsidR="001B7FED" w:rsidRDefault="001B7FED">
      <w:pPr>
        <w:pStyle w:val="BodyText"/>
        <w:spacing w:before="4"/>
        <w:rPr>
          <w:sz w:val="24"/>
        </w:rPr>
      </w:pPr>
    </w:p>
    <w:p w:rsidR="001B7FED" w:rsidRDefault="001B7FED">
      <w:pPr>
        <w:rPr>
          <w:sz w:val="24"/>
        </w:rPr>
        <w:sectPr w:rsidR="001B7FED">
          <w:pgSz w:w="8400" w:h="11910"/>
          <w:pgMar w:top="600" w:right="0" w:bottom="280" w:left="440" w:header="720" w:footer="720" w:gutter="0"/>
          <w:cols w:space="720"/>
        </w:sectPr>
      </w:pPr>
    </w:p>
    <w:p w:rsidR="001B7FED" w:rsidRDefault="001B7FED">
      <w:pPr>
        <w:pStyle w:val="BodyText"/>
        <w:rPr>
          <w:sz w:val="20"/>
        </w:rPr>
      </w:pPr>
    </w:p>
    <w:p w:rsidR="001B7FED" w:rsidRDefault="001B7FED">
      <w:pPr>
        <w:pStyle w:val="BodyText"/>
        <w:rPr>
          <w:sz w:val="20"/>
        </w:rPr>
      </w:pPr>
    </w:p>
    <w:p w:rsidR="001B7FED" w:rsidRDefault="001B7FED">
      <w:pPr>
        <w:pStyle w:val="BodyText"/>
        <w:spacing w:before="7"/>
        <w:rPr>
          <w:sz w:val="27"/>
        </w:rPr>
      </w:pPr>
    </w:p>
    <w:p w:rsidR="001B7FED" w:rsidRDefault="0046363E">
      <w:pPr>
        <w:spacing w:line="225" w:lineRule="auto"/>
        <w:ind w:left="280" w:right="20"/>
        <w:rPr>
          <w:rFonts w:ascii="Frutiger LT Std 55 Roman"/>
          <w:sz w:val="18"/>
        </w:rPr>
      </w:pPr>
      <w:r>
        <w:rPr>
          <w:rFonts w:ascii="Frutiger LT Std 55 Roman"/>
          <w:color w:val="304482"/>
          <w:sz w:val="18"/>
        </w:rPr>
        <w:t xml:space="preserve">Further advice and larger text guides can be found online: </w:t>
      </w:r>
      <w:hyperlink r:id="rId6">
        <w:r>
          <w:rPr>
            <w:rFonts w:ascii="Frutiger LT Std 55 Roman"/>
            <w:color w:val="2F92A1"/>
            <w:sz w:val="18"/>
          </w:rPr>
          <w:t>www.surrey.ac.uk/splash</w:t>
        </w:r>
      </w:hyperlink>
    </w:p>
    <w:p w:rsidR="001B7FED" w:rsidRDefault="0046363E">
      <w:pPr>
        <w:spacing w:line="197" w:lineRule="exact"/>
        <w:ind w:left="280"/>
        <w:rPr>
          <w:rFonts w:ascii="Trebuchet MS"/>
          <w:sz w:val="18"/>
        </w:rPr>
      </w:pPr>
      <w:r>
        <w:rPr>
          <w:rFonts w:ascii="Trebuchet MS"/>
          <w:color w:val="304482"/>
          <w:sz w:val="18"/>
        </w:rPr>
        <w:t>Revised 30/05/18</w:t>
      </w:r>
    </w:p>
    <w:p w:rsidR="001B7FED" w:rsidRDefault="0046363E">
      <w:pPr>
        <w:spacing w:before="100" w:line="247" w:lineRule="auto"/>
        <w:ind w:left="875" w:right="710" w:hanging="193"/>
        <w:rPr>
          <w:sz w:val="26"/>
        </w:rPr>
      </w:pPr>
      <w:r>
        <w:br w:type="column"/>
      </w:r>
      <w:r>
        <w:rPr>
          <w:color w:val="133E83"/>
          <w:sz w:val="26"/>
        </w:rPr>
        <w:t>Library &amp; Learning Support Services</w:t>
      </w:r>
    </w:p>
    <w:p w:rsidR="001B7FED" w:rsidRDefault="001B7FED">
      <w:pPr>
        <w:pStyle w:val="BodyText"/>
        <w:spacing w:before="5"/>
        <w:rPr>
          <w:sz w:val="7"/>
        </w:rPr>
      </w:pPr>
    </w:p>
    <w:p w:rsidR="001B7FED" w:rsidRDefault="0046363E">
      <w:pPr>
        <w:pStyle w:val="BodyText"/>
        <w:ind w:left="280"/>
        <w:rPr>
          <w:sz w:val="20"/>
        </w:rPr>
      </w:pPr>
      <w:r>
        <w:rPr>
          <w:noProof/>
          <w:sz w:val="20"/>
        </w:rPr>
        <w:drawing>
          <wp:inline distT="0" distB="0" distL="0" distR="0">
            <wp:extent cx="1530530" cy="4929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30530" cy="492918"/>
                    </a:xfrm>
                    <a:prstGeom prst="rect">
                      <a:avLst/>
                    </a:prstGeom>
                  </pic:spPr>
                </pic:pic>
              </a:graphicData>
            </a:graphic>
          </wp:inline>
        </w:drawing>
      </w:r>
    </w:p>
    <w:sectPr w:rsidR="001B7FED">
      <w:type w:val="continuous"/>
      <w:pgSz w:w="8400" w:h="11910"/>
      <w:pgMar w:top="0" w:right="0" w:bottom="0" w:left="440" w:header="720" w:footer="720" w:gutter="0"/>
      <w:cols w:num="2" w:space="720" w:equalWidth="0">
        <w:col w:w="3761" w:space="774"/>
        <w:col w:w="342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Std 55 Roman">
    <w:altName w:val="Frutiger LT Std 55 Roman"/>
    <w:panose1 w:val="020B0602020204020204"/>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43C30"/>
    <w:multiLevelType w:val="hybridMultilevel"/>
    <w:tmpl w:val="8240329A"/>
    <w:lvl w:ilvl="0" w:tplc="BFA803A6">
      <w:start w:val="1"/>
      <w:numFmt w:val="decimal"/>
      <w:lvlText w:val="%1."/>
      <w:lvlJc w:val="left"/>
      <w:pPr>
        <w:ind w:left="280" w:hanging="245"/>
        <w:jc w:val="left"/>
      </w:pPr>
      <w:rPr>
        <w:rFonts w:hint="default"/>
        <w:b/>
        <w:bCs/>
        <w:spacing w:val="-4"/>
        <w:w w:val="100"/>
        <w:lang w:val="en-GB" w:eastAsia="en-GB" w:bidi="en-GB"/>
      </w:rPr>
    </w:lvl>
    <w:lvl w:ilvl="1" w:tplc="60E81166">
      <w:numFmt w:val="bullet"/>
      <w:lvlText w:val="•"/>
      <w:lvlJc w:val="left"/>
      <w:pPr>
        <w:ind w:left="846" w:hanging="284"/>
      </w:pPr>
      <w:rPr>
        <w:rFonts w:ascii="Frutiger LT Std 45 Light" w:eastAsia="Frutiger LT Std 45 Light" w:hAnsi="Frutiger LT Std 45 Light" w:cs="Frutiger LT Std 45 Light" w:hint="default"/>
        <w:b/>
        <w:bCs/>
        <w:color w:val="26437E"/>
        <w:spacing w:val="-11"/>
        <w:w w:val="100"/>
        <w:sz w:val="22"/>
        <w:szCs w:val="22"/>
        <w:lang w:val="en-GB" w:eastAsia="en-GB" w:bidi="en-GB"/>
      </w:rPr>
    </w:lvl>
    <w:lvl w:ilvl="2" w:tplc="F808D08A">
      <w:numFmt w:val="bullet"/>
      <w:lvlText w:val="•"/>
      <w:lvlJc w:val="left"/>
      <w:pPr>
        <w:ind w:left="1630" w:hanging="284"/>
      </w:pPr>
      <w:rPr>
        <w:rFonts w:hint="default"/>
        <w:lang w:val="en-GB" w:eastAsia="en-GB" w:bidi="en-GB"/>
      </w:rPr>
    </w:lvl>
    <w:lvl w:ilvl="3" w:tplc="F732DB62">
      <w:numFmt w:val="bullet"/>
      <w:lvlText w:val="•"/>
      <w:lvlJc w:val="left"/>
      <w:pPr>
        <w:ind w:left="2420" w:hanging="284"/>
      </w:pPr>
      <w:rPr>
        <w:rFonts w:hint="default"/>
        <w:lang w:val="en-GB" w:eastAsia="en-GB" w:bidi="en-GB"/>
      </w:rPr>
    </w:lvl>
    <w:lvl w:ilvl="4" w:tplc="006A4286">
      <w:numFmt w:val="bullet"/>
      <w:lvlText w:val="•"/>
      <w:lvlJc w:val="left"/>
      <w:pPr>
        <w:ind w:left="3210" w:hanging="284"/>
      </w:pPr>
      <w:rPr>
        <w:rFonts w:hint="default"/>
        <w:lang w:val="en-GB" w:eastAsia="en-GB" w:bidi="en-GB"/>
      </w:rPr>
    </w:lvl>
    <w:lvl w:ilvl="5" w:tplc="7A2C68BA">
      <w:numFmt w:val="bullet"/>
      <w:lvlText w:val="•"/>
      <w:lvlJc w:val="left"/>
      <w:pPr>
        <w:ind w:left="4000" w:hanging="284"/>
      </w:pPr>
      <w:rPr>
        <w:rFonts w:hint="default"/>
        <w:lang w:val="en-GB" w:eastAsia="en-GB" w:bidi="en-GB"/>
      </w:rPr>
    </w:lvl>
    <w:lvl w:ilvl="6" w:tplc="13FCFA76">
      <w:numFmt w:val="bullet"/>
      <w:lvlText w:val="•"/>
      <w:lvlJc w:val="left"/>
      <w:pPr>
        <w:ind w:left="4790" w:hanging="284"/>
      </w:pPr>
      <w:rPr>
        <w:rFonts w:hint="default"/>
        <w:lang w:val="en-GB" w:eastAsia="en-GB" w:bidi="en-GB"/>
      </w:rPr>
    </w:lvl>
    <w:lvl w:ilvl="7" w:tplc="401CE8A6">
      <w:numFmt w:val="bullet"/>
      <w:lvlText w:val="•"/>
      <w:lvlJc w:val="left"/>
      <w:pPr>
        <w:ind w:left="5580" w:hanging="284"/>
      </w:pPr>
      <w:rPr>
        <w:rFonts w:hint="default"/>
        <w:lang w:val="en-GB" w:eastAsia="en-GB" w:bidi="en-GB"/>
      </w:rPr>
    </w:lvl>
    <w:lvl w:ilvl="8" w:tplc="DE667456">
      <w:numFmt w:val="bullet"/>
      <w:lvlText w:val="•"/>
      <w:lvlJc w:val="left"/>
      <w:pPr>
        <w:ind w:left="6370" w:hanging="28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B7FED"/>
    <w:rsid w:val="001B7FED"/>
    <w:rsid w:val="0046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7EF92EE6-B67E-4ED6-8787-F56EEBD0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Frutiger LT Std 45 Light" w:eastAsia="Frutiger LT Std 45 Light" w:hAnsi="Frutiger LT Std 45 Light" w:cs="Frutiger LT Std 45 Light"/>
      <w:lang w:val="en-GB" w:eastAsia="en-GB" w:bidi="en-GB"/>
    </w:rPr>
  </w:style>
  <w:style w:type="paragraph" w:styleId="Heading1">
    <w:name w:val="heading 1"/>
    <w:basedOn w:val="Normal"/>
    <w:uiPriority w:val="1"/>
    <w:qFormat/>
    <w:pPr>
      <w:spacing w:before="159" w:line="253" w:lineRule="exact"/>
      <w:ind w:left="2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9" w:line="253" w:lineRule="exact"/>
      <w:ind w:left="2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rey.ac.uk/splash" TargetMode="External"/><Relationship Id="rId5" Type="http://schemas.openxmlformats.org/officeDocument/2006/relationships/hyperlink" Target="mailto:splash@surrey.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Lowe J  Ms (Library &amp; Learn Sppt)</cp:lastModifiedBy>
  <cp:revision>2</cp:revision>
  <dcterms:created xsi:type="dcterms:W3CDTF">2018-09-26T13:31:00Z</dcterms:created>
  <dcterms:modified xsi:type="dcterms:W3CDTF">2018-09-26T13:32:00Z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Adobe InDesign CC 13.1 (Windows)</vt:lpwstr>
  </property>
  <property fmtid="{D5CDD505-2E9C-101B-9397-08002B2CF9AE}" pid="4" name="LastSaved">
    <vt:filetime>2018-09-26T00:00:00Z</vt:filetime>
  </property>
</Properties>
</file>