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_rels/header1.xml.rels" ContentType="application/vnd.openxmlformats-package.relationship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document.xml" ContentType="application/vnd.openxmlformats-officedocument.wordprocessingml.document.main+xml"/>
  <Override PartName="/word/media/image3.png" ContentType="image/png"/>
  <Override PartName="/word/media/image2.jpeg" ContentType="image/jpeg"/>
  <Override PartName="/word/media/image1.png" ContentType="image/png"/>
  <Override PartName="/word/footer1.xml" ContentType="application/vnd.openxmlformats-officedocument.wordprocessingml.footer+xml"/>
  <Override PartName="/word/header1.xml" ContentType="application/vnd.openxmlformats-officedocument.wordprocessingml.header+xml"/>
  <Override PartName="/_rels/.rels" ContentType="application/vnd.openxmlformats-package.relationship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shd w:val="clear" w:color="auto" w:fill="FFFFFF"/>
        <w:rPr/>
      </w:pPr>
      <w:r>
        <w:rPr/>
      </w:r>
      <w:bookmarkStart w:id="0" w:name="_GoBack"/>
      <w:bookmarkStart w:id="1" w:name="_GoBack"/>
      <w:bookmarkEnd w:id="1"/>
    </w:p>
    <w:p>
      <w:pPr>
        <w:pStyle w:val="Heading1"/>
        <w:numPr>
          <w:ilvl w:val="0"/>
          <w:numId w:val="1"/>
        </w:numPr>
        <w:shd w:val="clear" w:color="auto" w:fill="FFFFFF"/>
        <w:spacing w:before="0" w:after="120"/>
        <w:jc w:val="center"/>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GOVERNING PLASTICS NETWORK - POLICY BRIEF</w:t>
      </w:r>
    </w:p>
    <w:p>
      <w:pPr>
        <w:pStyle w:val="Normal"/>
        <w:shd w:val="clear" w:color="auto" w:fill="FFFFFF"/>
        <w:spacing w:before="0" w:after="120"/>
        <w:jc w:val="center"/>
        <w:rPr>
          <w:rFonts w:ascii="Calibri" w:hAnsi="Calibri" w:eastAsia="Noto Sans CJK SC" w:cs="Calibri" w:asciiTheme="minorHAnsi" w:cstheme="minorHAnsi" w:hAnsiTheme="minorHAnsi"/>
          <w:b/>
          <w:b/>
          <w:bCs/>
          <w:u w:val="single"/>
        </w:rPr>
      </w:pPr>
      <w:r>
        <w:rPr>
          <w:rFonts w:eastAsia="Noto Sans CJK SC" w:cs="Calibri" w:ascii="Calibri" w:hAnsi="Calibri" w:asciiTheme="minorHAnsi" w:cstheme="minorHAnsi" w:hAnsiTheme="minorHAnsi"/>
          <w:b/>
          <w:bCs/>
          <w:u w:val="single"/>
        </w:rPr>
        <w:t>COUNTRY: RWANDA</w:t>
      </w:r>
    </w:p>
    <w:tbl>
      <w:tblPr>
        <w:tblStyle w:val="TableGrid"/>
        <w:tblW w:w="9389" w:type="dxa"/>
        <w:jc w:val="left"/>
        <w:tblInd w:w="108" w:type="dxa"/>
        <w:tblCellMar>
          <w:top w:w="0" w:type="dxa"/>
          <w:left w:w="108" w:type="dxa"/>
          <w:bottom w:w="0" w:type="dxa"/>
          <w:right w:w="108" w:type="dxa"/>
        </w:tblCellMar>
        <w:tblLook w:noVBand="1" w:val="04a0" w:noHBand="0" w:lastColumn="0" w:firstColumn="1" w:lastRow="0" w:firstRow="1"/>
      </w:tblPr>
      <w:tblGrid>
        <w:gridCol w:w="4605"/>
        <w:gridCol w:w="4783"/>
      </w:tblGrid>
      <w:tr>
        <w:trPr/>
        <w:tc>
          <w:tcPr>
            <w:tcW w:w="4605" w:type="dxa"/>
            <w:tcBorders>
              <w:top w:val="nil"/>
              <w:left w:val="nil"/>
              <w:bottom w:val="nil"/>
              <w:right w:val="nil"/>
            </w:tcBorders>
          </w:tcPr>
          <w:p>
            <w:pPr>
              <w:pStyle w:val="Normal"/>
              <w:shd w:val="clear" w:color="auto" w:fill="FFFFFF"/>
              <w:spacing w:before="0" w:after="120"/>
              <w:rPr>
                <w:rFonts w:ascii="Calibri" w:hAnsi="Calibri" w:cs="Calibri" w:asciiTheme="minorHAnsi" w:cstheme="minorHAnsi" w:hAnsiTheme="minorHAnsi"/>
                <w:b/>
                <w:b/>
              </w:rPr>
            </w:pPr>
            <w:r>
              <w:rPr>
                <w:rFonts w:cs="Calibri" w:ascii="Calibri" w:hAnsi="Calibri" w:asciiTheme="minorHAnsi" w:cstheme="minorHAnsi" w:hAnsiTheme="minorHAnsi"/>
                <w:b/>
              </w:rPr>
              <w:t>Date of presentation:</w:t>
            </w:r>
          </w:p>
        </w:tc>
        <w:tc>
          <w:tcPr>
            <w:tcW w:w="4783" w:type="dxa"/>
            <w:tcBorders>
              <w:top w:val="nil"/>
              <w:left w:val="nil"/>
              <w:bottom w:val="nil"/>
              <w:right w:val="nil"/>
            </w:tcBorders>
          </w:tcPr>
          <w:p>
            <w:pPr>
              <w:pStyle w:val="Normal"/>
              <w:spacing w:before="0" w:after="120"/>
              <w:rPr>
                <w:rFonts w:ascii="Calibri" w:hAnsi="Calibri" w:cs="Calibri" w:asciiTheme="minorHAnsi" w:cstheme="minorHAnsi" w:hAnsiTheme="minorHAnsi"/>
                <w:b/>
                <w:b/>
              </w:rPr>
            </w:pPr>
            <w:r>
              <w:rPr>
                <w:rFonts w:cs="Calibri" w:ascii="Calibri" w:hAnsi="Calibri" w:asciiTheme="minorHAnsi" w:cstheme="minorHAnsi" w:hAnsiTheme="minorHAnsi"/>
                <w:b/>
              </w:rPr>
              <w:t xml:space="preserve">Key Contact, National Team: </w:t>
            </w:r>
            <w:r>
              <w:rPr>
                <w:rFonts w:cs="Calibri" w:ascii="Calibri" w:hAnsi="Calibri" w:asciiTheme="minorHAnsi" w:cstheme="minorHAnsi" w:hAnsiTheme="minorHAnsi"/>
              </w:rPr>
              <w:t>Dr Aime Tsinda (</w:t>
            </w:r>
            <w:hyperlink r:id="rId2">
              <w:r>
                <w:rPr>
                  <w:rStyle w:val="InternetLink"/>
                  <w:rFonts w:cs="Calibri" w:ascii="Calibri" w:hAnsi="Calibri" w:asciiTheme="minorHAnsi" w:cstheme="minorHAnsi" w:hAnsiTheme="minorHAnsi"/>
                </w:rPr>
                <w:t>atsinda@ur.ac.rw</w:t>
              </w:r>
            </w:hyperlink>
            <w:r>
              <w:rPr>
                <w:rFonts w:cs="Calibri" w:ascii="Calibri" w:hAnsi="Calibri" w:asciiTheme="minorHAnsi" w:cstheme="minorHAnsi" w:hAnsiTheme="minorHAnsi"/>
              </w:rPr>
              <w:t xml:space="preserve"> or aime.tsinda@gmail.com), Dr Marie Rose Turamwishimiye (rosieshimiye4@gmail.com)</w:t>
            </w:r>
          </w:p>
        </w:tc>
      </w:tr>
      <w:tr>
        <w:trPr/>
        <w:tc>
          <w:tcPr>
            <w:tcW w:w="4605" w:type="dxa"/>
            <w:tcBorders>
              <w:top w:val="nil"/>
              <w:left w:val="nil"/>
              <w:bottom w:val="nil"/>
              <w:right w:val="nil"/>
            </w:tcBorders>
          </w:tcPr>
          <w:p>
            <w:pPr>
              <w:pStyle w:val="Normal"/>
              <w:spacing w:before="0" w:after="120"/>
              <w:rPr>
                <w:rFonts w:ascii="Calibri" w:hAnsi="Calibri" w:cs="Calibri" w:asciiTheme="minorHAnsi" w:cstheme="minorHAnsi" w:hAnsiTheme="minorHAnsi"/>
                <w:b/>
                <w:b/>
              </w:rPr>
            </w:pPr>
            <w:r>
              <w:rPr>
                <w:rFonts w:cs="Calibri" w:ascii="Calibri" w:hAnsi="Calibri" w:asciiTheme="minorHAnsi" w:cstheme="minorHAnsi" w:hAnsiTheme="minorHAnsi"/>
                <w:b/>
              </w:rPr>
              <w:t>Presented to:</w:t>
            </w:r>
          </w:p>
        </w:tc>
        <w:tc>
          <w:tcPr>
            <w:tcW w:w="4783" w:type="dxa"/>
            <w:tcBorders>
              <w:top w:val="nil"/>
              <w:left w:val="nil"/>
              <w:bottom w:val="nil"/>
              <w:right w:val="nil"/>
            </w:tcBorders>
          </w:tcPr>
          <w:p>
            <w:pPr>
              <w:pStyle w:val="Normal"/>
              <w:spacing w:before="0" w:after="120"/>
              <w:rPr>
                <w:rFonts w:ascii="Calibri" w:hAnsi="Calibri" w:cs="Calibri" w:asciiTheme="minorHAnsi" w:cstheme="minorHAnsi" w:hAnsiTheme="minorHAnsi"/>
              </w:rPr>
            </w:pPr>
            <w:r>
              <w:rPr>
                <w:rFonts w:cs="Calibri" w:ascii="Calibri" w:hAnsi="Calibri" w:asciiTheme="minorHAnsi" w:cstheme="minorHAnsi" w:hAnsiTheme="minorHAnsi"/>
                <w:b/>
              </w:rPr>
              <w:t>Project coordinators:</w:t>
            </w:r>
            <w:r>
              <w:rPr>
                <w:rFonts w:cs="Calibri" w:ascii="Calibri" w:hAnsi="Calibri" w:asciiTheme="minorHAnsi" w:cstheme="minorHAnsi" w:hAnsiTheme="minorHAnsi"/>
              </w:rPr>
              <w:t xml:space="preserve"> Prof. Malcom, Prof. Oguge, Dr. Castello, Dr. O’Meara, Dr. Peacock, Dr. Oremo.</w:t>
            </w:r>
          </w:p>
          <w:p>
            <w:pPr>
              <w:pStyle w:val="Normal"/>
              <w:shd w:val="clear" w:color="auto" w:fill="FFFFFF"/>
              <w:suppressAutoHyphens w:val="false"/>
              <w:spacing w:before="75" w:after="75"/>
              <w:rPr>
                <w:rFonts w:ascii="Calibri" w:hAnsi="Calibri" w:cs="Calibri" w:asciiTheme="minorHAnsi" w:cstheme="minorHAnsi" w:hAnsiTheme="minorHAnsi"/>
                <w:color w:val="66665C"/>
              </w:rPr>
            </w:pPr>
            <w:r>
              <w:rPr>
                <w:rFonts w:cs="Calibri" w:ascii="Calibri" w:hAnsi="Calibri" w:asciiTheme="minorHAnsi" w:cstheme="minorHAnsi" w:hAnsiTheme="minorHAnsi"/>
                <w:b/>
              </w:rPr>
              <w:t>Contact: </w:t>
            </w:r>
            <w:hyperlink r:id="rId3">
              <w:r>
                <w:rPr>
                  <w:rStyle w:val="InternetLink"/>
                  <w:rFonts w:cs="Calibri" w:ascii="Calibri" w:hAnsi="Calibri" w:asciiTheme="minorHAnsi" w:cstheme="minorHAnsi" w:hAnsiTheme="minorHAnsi"/>
                  <w:b/>
                  <w:bCs/>
                  <w:color w:val="003E7E"/>
                </w:rPr>
                <w:t>gpnp@uonbi.ac.ke</w:t>
              </w:r>
            </w:hyperlink>
          </w:p>
        </w:tc>
      </w:tr>
    </w:tbl>
    <w:p>
      <w:pPr>
        <w:pStyle w:val="Normal"/>
        <w:shd w:val="clear" w:color="auto" w:fill="FFFFFF"/>
        <w:spacing w:before="0" w:after="120"/>
        <w:rPr>
          <w:rFonts w:ascii="Calibri" w:hAnsi="Calibri" w:cs="Calibri" w:asciiTheme="minorHAnsi" w:cstheme="minorHAnsi" w:hAnsiTheme="minorHAnsi"/>
          <w:b/>
          <w:b/>
          <w:u w:val="single"/>
        </w:rPr>
      </w:pPr>
      <w:r>
        <w:rPr>
          <w:rFonts w:cs="Calibri" w:ascii="Calibri" w:hAnsi="Calibri" w:asciiTheme="minorHAnsi" w:cstheme="minorHAnsi" w:hAnsiTheme="minorHAnsi"/>
          <w:b/>
          <w:u w:val="single"/>
        </w:rPr>
        <w:t>Project Information</w:t>
      </w:r>
    </w:p>
    <w:p>
      <w:pPr>
        <w:pStyle w:val="Normal"/>
        <w:suppressAutoHyphens w:val="false"/>
        <w:jc w:val="both"/>
        <w:rPr>
          <w:rFonts w:ascii="Calibri" w:hAnsi="Calibri" w:cs="Calibri" w:asciiTheme="minorHAnsi" w:cstheme="minorHAnsi" w:hAnsiTheme="minorHAnsi"/>
        </w:rPr>
      </w:pPr>
      <w:r>
        <w:rPr>
          <w:rFonts w:cs="Calibri" w:ascii="Calibri" w:hAnsi="Calibri" w:asciiTheme="minorHAnsi" w:cstheme="minorHAnsi" w:hAnsiTheme="minorHAnsi"/>
        </w:rPr>
        <w:t xml:space="preserve">The Governing Plastics Network is a project jointly created by the University of Nairobi in Kenya and the University of Surrey in the UK. </w:t>
      </w:r>
    </w:p>
    <w:p>
      <w:pPr>
        <w:pStyle w:val="Normal"/>
        <w:suppressAutoHyphens w:val="false"/>
        <w:jc w:val="both"/>
        <w:rPr>
          <w:rFonts w:ascii="Calibri" w:hAnsi="Calibri" w:cs="Calibri" w:asciiTheme="minorHAnsi" w:cstheme="minorHAnsi" w:hAnsiTheme="minorHAnsi"/>
        </w:rPr>
      </w:pPr>
      <w:r>
        <w:rPr>
          <w:rFonts w:cs="Calibri" w:ascii="Calibri" w:hAnsi="Calibri" w:asciiTheme="minorHAnsi" w:cstheme="minorHAnsi" w:hAnsiTheme="minorHAnsi"/>
          <w:b/>
        </w:rPr>
        <w:t>Funding partners:</w:t>
      </w:r>
      <w:r>
        <w:rPr>
          <w:rFonts w:cs="Calibri" w:ascii="Calibri" w:hAnsi="Calibri" w:asciiTheme="minorHAnsi" w:cstheme="minorHAnsi" w:hAnsiTheme="minorHAnsi"/>
        </w:rPr>
        <w:t xml:space="preserve"> UK Research and Innovation (UKRI) through the Global Challenges Research Fund (GCRF) and the UKRI/GCRF, AHRC, EPSRC and UGPN.</w:t>
      </w:r>
    </w:p>
    <w:p>
      <w:pPr>
        <w:pStyle w:val="Normal"/>
        <w:suppressAutoHyphens w:val="false"/>
        <w:jc w:val="both"/>
        <w:rPr>
          <w:rFonts w:ascii="Calibri" w:hAnsi="Calibri" w:cs="Calibri" w:asciiTheme="minorHAnsi" w:cstheme="minorHAnsi" w:hAnsiTheme="minorHAnsi"/>
        </w:rPr>
      </w:pPr>
      <w:r>
        <w:rPr>
          <w:rFonts w:cs="Calibri" w:ascii="Calibri" w:hAnsi="Calibri" w:asciiTheme="minorHAnsi" w:cstheme="minorHAnsi" w:hAnsiTheme="minorHAnsi"/>
          <w:b/>
        </w:rPr>
        <w:t>Project Objectives:</w:t>
      </w:r>
      <w:r>
        <w:rPr>
          <w:rFonts w:cs="Calibri" w:ascii="Calibri" w:hAnsi="Calibri" w:asciiTheme="minorHAnsi" w:cstheme="minorHAnsi" w:hAnsiTheme="minorHAnsi"/>
        </w:rPr>
        <w:t xml:space="preserve"> To help national partners to improve plastic pollution governance by identifying best practices on communication strategies and governance structures. </w:t>
      </w:r>
    </w:p>
    <w:p>
      <w:pPr>
        <w:pStyle w:val="Normal"/>
        <w:spacing w:before="0" w:after="120"/>
        <w:jc w:val="both"/>
        <w:rPr>
          <w:rFonts w:ascii="Calibri" w:hAnsi="Calibri" w:cs="Calibri" w:asciiTheme="minorHAnsi" w:cstheme="minorHAnsi" w:hAnsiTheme="minorHAnsi"/>
        </w:rPr>
      </w:pPr>
      <w:r>
        <w:rPr>
          <w:rFonts w:cs="Calibri" w:ascii="Calibri" w:hAnsi="Calibri" w:asciiTheme="minorHAnsi" w:cstheme="minorHAnsi" w:hAnsiTheme="minorHAnsi"/>
          <w:b/>
        </w:rPr>
        <w:t>Key activities:</w:t>
      </w:r>
      <w:r>
        <w:rPr>
          <w:rFonts w:cs="Calibri" w:ascii="Calibri" w:hAnsi="Calibri" w:asciiTheme="minorHAnsi" w:cstheme="minorHAnsi" w:hAnsiTheme="minorHAnsi"/>
        </w:rPr>
        <w:t xml:space="preserve"> 1) Map key national stakeholders and identify the most influential. 2) Analyse key stakeholder communication strategies and how they have affected the country’s governance. 3) Analyse the country’s governance frameworks relating to single use plastic and identify opportunities for improvement.</w:t>
      </w:r>
    </w:p>
    <w:p>
      <w:pPr>
        <w:pStyle w:val="Normal"/>
        <w:shd w:val="clear" w:color="auto" w:fill="FFFFFF"/>
        <w:spacing w:before="0" w:after="120"/>
        <w:rPr>
          <w:rFonts w:ascii="Calibri" w:hAnsi="Calibri" w:eastAsia="Noto Sans CJK SC" w:cs="Calibri" w:asciiTheme="minorHAnsi" w:cstheme="minorHAnsi" w:hAnsiTheme="minorHAnsi"/>
          <w:b/>
          <w:b/>
          <w:bCs/>
          <w:u w:val="single"/>
        </w:rPr>
      </w:pPr>
      <w:r>
        <w:rPr>
          <w:rFonts w:eastAsia="Noto Sans CJK SC" w:cs="Calibri" w:ascii="Calibri" w:hAnsi="Calibri" w:asciiTheme="minorHAnsi" w:cstheme="minorHAnsi" w:hAnsiTheme="minorHAnsi"/>
          <w:b/>
          <w:bCs/>
          <w:u w:val="single"/>
        </w:rPr>
        <w:t>Global Project Results</w:t>
      </w:r>
    </w:p>
    <w:tbl>
      <w:tblPr>
        <w:tblW w:w="9889" w:type="dxa"/>
        <w:jc w:val="left"/>
        <w:tblInd w:w="0" w:type="dxa"/>
        <w:tblCellMar>
          <w:top w:w="0" w:type="dxa"/>
          <w:left w:w="108" w:type="dxa"/>
          <w:bottom w:w="0" w:type="dxa"/>
          <w:right w:w="108" w:type="dxa"/>
        </w:tblCellMar>
        <w:tblLook w:noVBand="1" w:val="04a0" w:noHBand="0" w:lastColumn="0" w:firstColumn="1" w:lastRow="0" w:firstRow="1"/>
      </w:tblPr>
      <w:tblGrid>
        <w:gridCol w:w="9889"/>
      </w:tblGrid>
      <w:tr>
        <w:trPr>
          <w:trHeight w:val="1659" w:hRule="atLeast"/>
        </w:trPr>
        <w:tc>
          <w:tcPr>
            <w:tcW w:w="9889"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false"/>
              <w:rPr>
                <w:rFonts w:ascii="Calibri" w:hAnsi="Calibri" w:cs="Calibri" w:asciiTheme="minorHAnsi" w:cstheme="minorHAnsi" w:hAnsiTheme="minorHAnsi"/>
              </w:rPr>
            </w:pPr>
            <w:r>
              <w:rPr>
                <w:rFonts w:cs="Calibri" w:ascii="Calibri" w:hAnsi="Calibri" w:asciiTheme="minorHAnsi" w:cstheme="minorHAnsi" w:hAnsiTheme="minorHAnsi"/>
                <w:b/>
              </w:rPr>
              <w:t>Diagnostic:</w:t>
            </w:r>
            <w:r>
              <w:rPr>
                <w:rFonts w:cs="Calibri" w:ascii="Calibri" w:hAnsi="Calibri" w:asciiTheme="minorHAnsi" w:cstheme="minorHAnsi" w:hAnsiTheme="minorHAnsi"/>
              </w:rPr>
              <w:t xml:space="preserve"> Despite the advanced legal frameworks in single use plastic there are two main implementation problems: 1) Cultural adherence 2) Law enforcement.</w:t>
            </w:r>
          </w:p>
          <w:p>
            <w:pPr>
              <w:pStyle w:val="Normal"/>
              <w:suppressAutoHyphens w:val="false"/>
              <w:rPr>
                <w:rFonts w:ascii="Calibri" w:hAnsi="Calibri" w:eastAsia="Times New Roman" w:cs="Calibri" w:asciiTheme="minorHAnsi" w:cstheme="minorHAnsi" w:hAnsiTheme="minorHAnsi"/>
                <w:color w:val="66665C"/>
                <w:kern w:val="0"/>
                <w:sz w:val="20"/>
                <w:szCs w:val="20"/>
                <w:lang w:eastAsia="en-US" w:bidi="ar-SA"/>
              </w:rPr>
            </w:pPr>
            <w:r>
              <w:rPr>
                <w:rFonts w:cs="Calibri" w:ascii="Calibri" w:hAnsi="Calibri" w:asciiTheme="minorHAnsi" w:cstheme="minorHAnsi" w:hAnsiTheme="minorHAnsi"/>
                <w:b/>
              </w:rPr>
              <w:t>Successful cases:</w:t>
            </w:r>
            <w:r>
              <w:rPr>
                <w:rFonts w:cs="Calibri" w:ascii="Calibri" w:hAnsi="Calibri" w:asciiTheme="minorHAnsi" w:cstheme="minorHAnsi" w:hAnsiTheme="minorHAnsi"/>
              </w:rPr>
              <w:t xml:space="preserve"> The project identified two types of campaigns that work well: 1) National/regional entrepreneurs that have become key plastic celebrities; 2) international NGOs that define local/global messages focused on refusing plastics and promoting alternative entrepreneurship ideas.</w:t>
            </w:r>
          </w:p>
        </w:tc>
      </w:tr>
      <w:tr>
        <w:trPr>
          <w:trHeight w:val="924" w:hRule="atLeast"/>
        </w:trPr>
        <w:tc>
          <w:tcPr>
            <w:tcW w:w="988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20"/>
              <w:rPr>
                <w:rFonts w:ascii="Calibri" w:hAnsi="Calibri" w:cs="Calibri" w:asciiTheme="minorHAnsi" w:cstheme="minorHAnsi" w:hAnsiTheme="minorHAnsi"/>
                <w:b/>
                <w:b/>
                <w:u w:val="single"/>
              </w:rPr>
            </w:pPr>
            <w:r>
              <w:rPr>
                <w:rFonts w:cs="Calibri" w:ascii="Calibri" w:hAnsi="Calibri" w:asciiTheme="minorHAnsi" w:cstheme="minorHAnsi" w:hAnsiTheme="minorHAnsi"/>
                <w:b/>
                <w:u w:val="single"/>
              </w:rPr>
              <w:t>Implications for policy and recommendations:</w:t>
            </w:r>
          </w:p>
          <w:p>
            <w:pPr>
              <w:pStyle w:val="Normal"/>
              <w:spacing w:before="0" w:after="120"/>
              <w:rPr>
                <w:rFonts w:ascii="Calibri" w:hAnsi="Calibri" w:cs="Calibri" w:asciiTheme="minorHAnsi" w:cstheme="minorHAnsi" w:hAnsiTheme="minorHAnsi"/>
              </w:rPr>
            </w:pPr>
            <w:r>
              <w:rPr>
                <w:rFonts w:cs="Calibri" w:ascii="Calibri" w:hAnsi="Calibri" w:asciiTheme="minorHAnsi" w:cstheme="minorHAnsi" w:hAnsiTheme="minorHAnsi"/>
              </w:rPr>
              <w:t>- Establish a network of key plastic ambassadors (including NGOs and key entrepreneurs)</w:t>
            </w:r>
          </w:p>
          <w:p>
            <w:pPr>
              <w:pStyle w:val="Normal"/>
              <w:spacing w:before="0" w:after="120"/>
              <w:rPr>
                <w:rFonts w:ascii="Calibri" w:hAnsi="Calibri" w:cs="Calibri" w:asciiTheme="minorHAnsi" w:cstheme="minorHAnsi" w:hAnsiTheme="minorHAnsi"/>
              </w:rPr>
            </w:pPr>
            <w:r>
              <w:rPr>
                <w:rFonts w:cs="Calibri" w:ascii="Calibri" w:hAnsi="Calibri" w:asciiTheme="minorHAnsi" w:cstheme="minorHAnsi" w:hAnsiTheme="minorHAnsi"/>
              </w:rPr>
              <w:t>- Work on local but unified messages related to refusing plastics, promoting a shift to a circular economy and the possibilities of using alternatives to plastics.</w:t>
            </w:r>
          </w:p>
          <w:p>
            <w:pPr>
              <w:pStyle w:val="Normal"/>
              <w:spacing w:before="0" w:after="120"/>
              <w:rPr>
                <w:rFonts w:ascii="Calibri" w:hAnsi="Calibri" w:cs="Calibri" w:asciiTheme="minorHAnsi" w:cstheme="minorHAnsi" w:hAnsiTheme="minorHAnsi"/>
              </w:rPr>
            </w:pPr>
            <w:r>
              <w:rPr>
                <w:rFonts w:cs="Calibri" w:ascii="Calibri" w:hAnsi="Calibri" w:asciiTheme="minorHAnsi" w:cstheme="minorHAnsi" w:hAnsiTheme="minorHAnsi"/>
              </w:rPr>
              <w:t>- Support key symbolic material: involve civil society and artist in creating a new anti-plastic symbology.</w:t>
            </w:r>
          </w:p>
        </w:tc>
      </w:tr>
    </w:tbl>
    <w:p>
      <w:pPr>
        <w:pStyle w:val="Normal"/>
        <w:shd w:val="clear" w:color="auto" w:fill="FFFFFF"/>
        <w:spacing w:before="0" w:after="120"/>
        <w:rPr>
          <w:rFonts w:ascii="Calibri" w:hAnsi="Calibri" w:eastAsia="Noto Sans CJK SC" w:cs="Calibri" w:asciiTheme="minorHAnsi" w:cstheme="minorHAnsi" w:hAnsiTheme="minorHAnsi"/>
          <w:b/>
          <w:b/>
          <w:bCs/>
          <w:u w:val="single"/>
        </w:rPr>
      </w:pPr>
      <w:r>
        <w:rPr>
          <w:rFonts w:eastAsia="Noto Sans CJK SC" w:cs="Calibri" w:cstheme="minorHAnsi" w:ascii="Calibri" w:hAnsi="Calibri"/>
          <w:b/>
          <w:bCs/>
          <w:u w:val="single"/>
        </w:rPr>
      </w:r>
    </w:p>
    <w:p>
      <w:pPr>
        <w:pStyle w:val="Normal"/>
        <w:shd w:val="clear" w:color="auto" w:fill="FFFFFF"/>
        <w:spacing w:before="0" w:after="120"/>
        <w:rPr>
          <w:rFonts w:ascii="Calibri" w:hAnsi="Calibri" w:eastAsia="Noto Sans CJK SC" w:cs="Calibri" w:asciiTheme="minorHAnsi" w:cstheme="minorHAnsi" w:hAnsiTheme="minorHAnsi"/>
          <w:b/>
          <w:b/>
          <w:bCs/>
          <w:u w:val="single"/>
        </w:rPr>
      </w:pPr>
      <w:r>
        <w:rPr/>
      </w:r>
    </w:p>
    <w:p>
      <w:pPr>
        <w:pStyle w:val="Normal"/>
        <w:shd w:val="clear" w:color="auto" w:fill="FFFFFF"/>
        <w:spacing w:before="0" w:after="120"/>
        <w:rPr>
          <w:rFonts w:ascii="Calibri" w:hAnsi="Calibri" w:eastAsia="Noto Sans CJK SC" w:cs="Calibri" w:asciiTheme="minorHAnsi" w:cstheme="minorHAnsi" w:hAnsiTheme="minorHAnsi"/>
          <w:b/>
          <w:b/>
          <w:bCs/>
          <w:u w:val="single"/>
        </w:rPr>
      </w:pPr>
      <w:r>
        <w:rPr/>
      </w:r>
    </w:p>
    <w:p>
      <w:pPr>
        <w:pStyle w:val="Normal"/>
        <w:shd w:val="clear" w:color="auto" w:fill="FFFFFF"/>
        <w:spacing w:before="0" w:after="120"/>
        <w:rPr>
          <w:rFonts w:ascii="Calibri" w:hAnsi="Calibri" w:eastAsia="Noto Sans CJK SC" w:cs="Calibri" w:asciiTheme="minorHAnsi" w:cstheme="minorHAnsi" w:hAnsiTheme="minorHAnsi"/>
          <w:b/>
          <w:b/>
          <w:bCs/>
          <w:u w:val="single"/>
        </w:rPr>
      </w:pPr>
      <w:r>
        <w:rPr>
          <w:rFonts w:eastAsia="Noto Sans CJK SC" w:cs="Calibri" w:ascii="Calibri" w:hAnsi="Calibri" w:asciiTheme="minorHAnsi" w:cstheme="minorHAnsi" w:hAnsiTheme="minorHAnsi"/>
          <w:b/>
          <w:bCs/>
          <w:u w:val="single"/>
        </w:rPr>
        <w:t>National Project Results</w:t>
      </w:r>
    </w:p>
    <w:tbl>
      <w:tblPr>
        <w:tblW w:w="8755" w:type="dxa"/>
        <w:jc w:val="left"/>
        <w:tblInd w:w="0" w:type="dxa"/>
        <w:tblCellMar>
          <w:top w:w="0" w:type="dxa"/>
          <w:left w:w="108" w:type="dxa"/>
          <w:bottom w:w="0" w:type="dxa"/>
          <w:right w:w="108" w:type="dxa"/>
        </w:tblCellMar>
        <w:tblLook w:noVBand="1" w:val="04a0" w:noHBand="0" w:lastColumn="0" w:firstColumn="1" w:lastRow="0" w:firstRow="1"/>
      </w:tblPr>
      <w:tblGrid>
        <w:gridCol w:w="8755"/>
      </w:tblGrid>
      <w:tr>
        <w:trPr>
          <w:trHeight w:val="332" w:hRule="atLeast"/>
        </w:trPr>
        <w:tc>
          <w:tcPr>
            <w:tcW w:w="8755"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both"/>
              <w:rPr>
                <w:rFonts w:ascii="Calibri" w:hAnsi="Calibri" w:cs="Calibri" w:asciiTheme="minorHAnsi" w:cstheme="minorHAnsi" w:hAnsiTheme="minorHAnsi"/>
                <w:bCs/>
                <w:lang w:val="en-ZA"/>
              </w:rPr>
            </w:pPr>
            <w:r>
              <w:rPr>
                <w:rFonts w:cs="Calibri" w:ascii="Calibri" w:hAnsi="Calibri" w:asciiTheme="minorHAnsi" w:cstheme="minorHAnsi" w:hAnsiTheme="minorHAnsi"/>
                <w:b/>
              </w:rPr>
              <w:t>Diagnostic:</w:t>
            </w:r>
            <w:r>
              <w:rPr>
                <w:rFonts w:cs="Calibri" w:ascii="Calibri" w:hAnsi="Calibri" w:asciiTheme="minorHAnsi" w:cstheme="minorHAnsi" w:hAnsiTheme="minorHAnsi"/>
                <w:bCs/>
                <w:lang w:val="en-ZA"/>
              </w:rPr>
              <w:t xml:space="preserve"> </w:t>
            </w:r>
          </w:p>
          <w:p>
            <w:pPr>
              <w:pStyle w:val="Normal"/>
              <w:jc w:val="both"/>
              <w:rPr>
                <w:rFonts w:ascii="Calibri" w:hAnsi="Calibri" w:cs="Calibri" w:asciiTheme="minorHAnsi" w:cstheme="minorHAnsi" w:hAnsiTheme="minorHAnsi"/>
                <w:color w:val="4472C4" w:themeColor="accent1"/>
              </w:rPr>
            </w:pPr>
            <w:r>
              <w:rPr>
                <w:rFonts w:cs="Calibri" w:cstheme="minorHAnsi" w:ascii="Calibri" w:hAnsi="Calibri"/>
                <w:color w:val="4472C4" w:themeColor="accent1"/>
              </w:rPr>
            </w:r>
          </w:p>
          <w:p>
            <w:pPr>
              <w:pStyle w:val="Normal"/>
              <w:jc w:val="both"/>
              <w:rPr>
                <w:rFonts w:ascii="Calibri" w:hAnsi="Calibri" w:cs="Calibri" w:asciiTheme="minorHAnsi" w:cstheme="minorHAnsi" w:hAnsiTheme="minorHAnsi"/>
              </w:rPr>
            </w:pPr>
            <w:r>
              <w:rPr>
                <w:rFonts w:cs="Calibri" w:ascii="Calibri" w:hAnsi="Calibri" w:asciiTheme="minorHAnsi" w:cstheme="minorHAnsi" w:hAnsiTheme="minorHAnsi"/>
              </w:rPr>
              <w:t>Rwanda has taken measures to better manage and reduce the use of plastics, including adoption of the law n</w:t>
            </w:r>
            <w:r>
              <w:rPr>
                <w:rFonts w:cs="Calibri" w:ascii="Calibri" w:hAnsi="Calibri" w:asciiTheme="minorHAnsi" w:cstheme="minorHAnsi" w:hAnsiTheme="minorHAnsi"/>
                <w:vertAlign w:val="superscript"/>
              </w:rPr>
              <w:t>o</w:t>
            </w:r>
            <w:r>
              <w:rPr>
                <w:rFonts w:cs="Calibri" w:ascii="Calibri" w:hAnsi="Calibri" w:asciiTheme="minorHAnsi" w:cstheme="minorHAnsi" w:hAnsiTheme="minorHAnsi"/>
              </w:rPr>
              <w:t xml:space="preserve"> 17/2019 of 10/08/2019 relating to the prohibition of manufacturing, importation, use and sale of plastic carry bags and single-use plastic items. The transition to a circular and eco-efficient economy is promoted through the National Policy on Environment and Climate Change of 2019 and the Green Growth and Climate Resilience Strategy of 2011 and is under revision since 2020. </w:t>
            </w:r>
          </w:p>
          <w:p>
            <w:pPr>
              <w:pStyle w:val="Normal"/>
              <w:jc w:val="both"/>
              <w:rPr>
                <w:rFonts w:ascii="Calibri" w:hAnsi="Calibri" w:cs="Calibri" w:asciiTheme="minorHAnsi" w:cstheme="minorHAnsi" w:hAnsiTheme="minorHAnsi"/>
              </w:rPr>
            </w:pPr>
            <w:r>
              <w:rPr>
                <w:rFonts w:cs="Calibri" w:cstheme="minorHAnsi" w:ascii="Calibri" w:hAnsi="Calibri"/>
              </w:rPr>
            </w:r>
          </w:p>
          <w:p>
            <w:pPr>
              <w:pStyle w:val="Normal"/>
              <w:jc w:val="both"/>
              <w:rPr>
                <w:rFonts w:ascii="Calibri" w:hAnsi="Calibri" w:cs="Calibri" w:asciiTheme="minorHAnsi" w:cstheme="minorHAnsi" w:hAnsiTheme="minorHAnsi"/>
              </w:rPr>
            </w:pPr>
            <w:r>
              <w:rPr>
                <w:rFonts w:cs="Calibri" w:ascii="Calibri" w:hAnsi="Calibri" w:asciiTheme="minorHAnsi" w:cstheme="minorHAnsi" w:hAnsiTheme="minorHAnsi"/>
              </w:rPr>
              <w:t xml:space="preserve">In addition, a large number of policy instruments – ranging from awareness campaigns to inspections and penalties in the form of fines and confiscation of plastics that are legally prohibited– are applied. The country has also been successful in significantly reducing the plastic bag waste by enforcing the law through joint-monitoring and inspection by different institutions (e.g. Rwanda Environment Management Authority, Rwanda National Police, and local administrative entities). The country uses different communication channels to raise awareness about the dangers of plastic pollution. However, the effective awareness campaigns on the dangers of plastic bags and single-use plastics require the use of different communication channels, focusing on community-based awareness campaigns (e.g. </w:t>
            </w:r>
            <w:r>
              <w:rPr>
                <w:rFonts w:cs="Calibri" w:ascii="Calibri" w:hAnsi="Calibri" w:asciiTheme="minorHAnsi" w:cstheme="minorHAnsi" w:hAnsiTheme="minorHAnsi"/>
                <w:i/>
              </w:rPr>
              <w:t xml:space="preserve">Umuganda, Umugoroba w’umuryango). </w:t>
            </w:r>
          </w:p>
          <w:p>
            <w:pPr>
              <w:pStyle w:val="Normal"/>
              <w:jc w:val="both"/>
              <w:rPr>
                <w:rFonts w:ascii="Calibri" w:hAnsi="Calibri" w:cs="Calibri" w:asciiTheme="minorHAnsi" w:cstheme="minorHAnsi" w:hAnsiTheme="minorHAnsi"/>
              </w:rPr>
            </w:pPr>
            <w:r>
              <w:rPr>
                <w:rFonts w:cs="Calibri" w:cstheme="minorHAnsi" w:ascii="Calibri" w:hAnsi="Calibri"/>
              </w:rPr>
            </w:r>
          </w:p>
          <w:p>
            <w:pPr>
              <w:pStyle w:val="Normal"/>
              <w:jc w:val="both"/>
              <w:rPr>
                <w:rFonts w:ascii="Calibri" w:hAnsi="Calibri" w:cs="Calibri" w:asciiTheme="minorHAnsi" w:cstheme="minorHAnsi" w:hAnsiTheme="minorHAnsi"/>
              </w:rPr>
            </w:pPr>
            <w:r>
              <w:rPr>
                <w:rFonts w:cs="Calibri" w:ascii="Calibri" w:hAnsi="Calibri" w:asciiTheme="minorHAnsi" w:cstheme="minorHAnsi" w:hAnsiTheme="minorHAnsi"/>
              </w:rPr>
              <w:t>Rwanda promotes cleaner production through Cleaner Production &amp; Climate Innovation Centre (CPCIC) which offers advisory services on adoption of cleaner production and climate resilient technologies and supporting businesses in transition to alternatives. However, despite a special attention paid to plastic pollution prevention in Rwanda, there are still limitations:</w:t>
            </w:r>
          </w:p>
          <w:p>
            <w:pPr>
              <w:pStyle w:val="Normal"/>
              <w:jc w:val="both"/>
              <w:rPr>
                <w:rFonts w:ascii="Calibri" w:hAnsi="Calibri" w:cs="Calibri" w:asciiTheme="minorHAnsi" w:cstheme="minorHAnsi" w:hAnsiTheme="minorHAnsi"/>
              </w:rPr>
            </w:pPr>
            <w:r>
              <w:rPr>
                <w:rFonts w:cs="Calibri" w:cstheme="minorHAnsi" w:ascii="Calibri" w:hAnsi="Calibri"/>
              </w:rPr>
            </w:r>
          </w:p>
          <w:p>
            <w:pPr>
              <w:pStyle w:val="ListParagraph"/>
              <w:numPr>
                <w:ilvl w:val="0"/>
                <w:numId w:val="3"/>
              </w:numPr>
              <w:jc w:val="both"/>
              <w:rPr>
                <w:rFonts w:ascii="Calibri" w:hAnsi="Calibri" w:cs="Calibri" w:asciiTheme="minorHAnsi" w:cstheme="minorHAnsi" w:hAnsiTheme="minorHAnsi"/>
              </w:rPr>
            </w:pPr>
            <w:r>
              <w:rPr>
                <w:rFonts w:cs="Calibri" w:ascii="Calibri" w:hAnsi="Calibri" w:asciiTheme="minorHAnsi" w:cstheme="minorHAnsi" w:hAnsiTheme="minorHAnsi"/>
              </w:rPr>
              <w:t xml:space="preserve">The current policy and legal framework does not cover all plastics. </w:t>
            </w:r>
          </w:p>
          <w:p>
            <w:pPr>
              <w:pStyle w:val="ListParagraph"/>
              <w:numPr>
                <w:ilvl w:val="0"/>
                <w:numId w:val="3"/>
              </w:numPr>
              <w:jc w:val="both"/>
              <w:rPr>
                <w:rFonts w:ascii="Calibri" w:hAnsi="Calibri" w:cs="Calibri" w:asciiTheme="minorHAnsi" w:cstheme="minorHAnsi" w:hAnsiTheme="minorHAnsi"/>
              </w:rPr>
            </w:pPr>
            <w:r>
              <w:rPr>
                <w:rFonts w:cs="Calibri" w:ascii="Calibri" w:hAnsi="Calibri" w:asciiTheme="minorHAnsi" w:cstheme="minorHAnsi" w:hAnsiTheme="minorHAnsi"/>
              </w:rPr>
              <w:t>The existing</w:t>
            </w:r>
            <w:r>
              <w:rPr>
                <w:rFonts w:cs="Calibri" w:ascii="Calibri" w:hAnsi="Calibri" w:asciiTheme="minorHAnsi" w:cstheme="minorHAnsi" w:hAnsiTheme="minorHAnsi"/>
                <w:lang w:val="en-ZA"/>
              </w:rPr>
              <w:t xml:space="preserve"> communication strategy reaches the public in a limited way.</w:t>
            </w:r>
          </w:p>
          <w:p>
            <w:pPr>
              <w:pStyle w:val="ListParagraph"/>
              <w:numPr>
                <w:ilvl w:val="0"/>
                <w:numId w:val="3"/>
              </w:numPr>
              <w:jc w:val="both"/>
              <w:rPr>
                <w:rFonts w:ascii="Calibri" w:hAnsi="Calibri" w:cs="Calibri" w:asciiTheme="minorHAnsi" w:cstheme="minorHAnsi" w:hAnsiTheme="minorHAnsi"/>
                <w:u w:val="single"/>
              </w:rPr>
            </w:pPr>
            <w:r>
              <w:rPr>
                <w:rFonts w:cs="Calibri" w:ascii="Calibri" w:hAnsi="Calibri" w:asciiTheme="minorHAnsi" w:cstheme="minorHAnsi" w:hAnsiTheme="minorHAnsi"/>
                <w:lang w:val="en-ZA"/>
              </w:rPr>
              <w:t>There is limitation in recording data on enforcement.</w:t>
            </w:r>
          </w:p>
          <w:p>
            <w:pPr>
              <w:pStyle w:val="ListParagraph"/>
              <w:numPr>
                <w:ilvl w:val="0"/>
                <w:numId w:val="3"/>
              </w:numPr>
              <w:jc w:val="both"/>
              <w:rPr>
                <w:rFonts w:ascii="Calibri" w:hAnsi="Calibri" w:cs="Calibri" w:asciiTheme="minorHAnsi" w:cstheme="minorHAnsi" w:hAnsiTheme="minorHAnsi"/>
                <w:color w:val="4472C4" w:themeColor="accent1"/>
              </w:rPr>
            </w:pPr>
            <w:r>
              <w:rPr>
                <w:rFonts w:cs="Calibri" w:ascii="Calibri" w:hAnsi="Calibri" w:asciiTheme="minorHAnsi" w:cstheme="minorHAnsi" w:hAnsiTheme="minorHAnsi"/>
              </w:rPr>
              <w:t>Alternatives such as recycling, circular economy activities are considered, but still limited mainly due to lack of technical and financial resources. This area needs more focus in the future.</w:t>
            </w:r>
          </w:p>
          <w:p>
            <w:pPr>
              <w:pStyle w:val="ListParagraph"/>
              <w:numPr>
                <w:ilvl w:val="0"/>
                <w:numId w:val="3"/>
              </w:numPr>
              <w:jc w:val="both"/>
              <w:rPr>
                <w:rFonts w:ascii="Calibri" w:hAnsi="Calibri" w:cs="Calibri" w:asciiTheme="minorHAnsi" w:cstheme="minorHAnsi" w:hAnsiTheme="minorHAnsi"/>
              </w:rPr>
            </w:pPr>
            <w:r>
              <w:rPr>
                <w:rFonts w:cs="Calibri" w:ascii="Calibri" w:hAnsi="Calibri" w:asciiTheme="minorHAnsi" w:cstheme="minorHAnsi" w:hAnsiTheme="minorHAnsi"/>
              </w:rPr>
              <w:t xml:space="preserve">Tailoring suitable communication products and channels to specific audiences still limited. </w:t>
            </w:r>
          </w:p>
          <w:p>
            <w:pPr>
              <w:pStyle w:val="ListParagraph"/>
              <w:jc w:val="both"/>
              <w:rPr>
                <w:rFonts w:ascii="Calibri" w:hAnsi="Calibri" w:cs="Calibri" w:asciiTheme="minorHAnsi" w:cstheme="minorHAnsi" w:hAnsiTheme="minorHAnsi"/>
                <w:color w:val="4472C4" w:themeColor="accent1"/>
              </w:rPr>
            </w:pPr>
            <w:r>
              <w:rPr>
                <w:rFonts w:cs="Calibri" w:cstheme="minorHAnsi" w:ascii="Calibri" w:hAnsi="Calibri"/>
                <w:color w:val="4472C4" w:themeColor="accent1"/>
              </w:rPr>
            </w:r>
          </w:p>
          <w:p>
            <w:pPr>
              <w:pStyle w:val="Normal"/>
              <w:spacing w:before="0" w:after="120"/>
              <w:jc w:val="both"/>
              <w:rPr>
                <w:rFonts w:ascii="Calibri" w:hAnsi="Calibri" w:cs="Calibri" w:asciiTheme="minorHAnsi" w:cstheme="minorHAnsi" w:hAnsiTheme="minorHAnsi"/>
              </w:rPr>
            </w:pPr>
            <w:r>
              <w:rPr>
                <w:rFonts w:cs="Calibri" w:ascii="Calibri" w:hAnsi="Calibri" w:asciiTheme="minorHAnsi" w:cstheme="minorHAnsi" w:hAnsiTheme="minorHAnsi"/>
                <w:b/>
              </w:rPr>
              <w:t>Successful cases:</w:t>
            </w:r>
            <w:r>
              <w:rPr>
                <w:rFonts w:cs="Calibri" w:ascii="Calibri" w:hAnsi="Calibri" w:asciiTheme="minorHAnsi" w:cstheme="minorHAnsi" w:hAnsiTheme="minorHAnsi"/>
              </w:rPr>
              <w:t xml:space="preserve"> Two case studies were identified in Rwanda. These include Rwanda Environment Management Authority (REMA) and Cleaner Production &amp; Climate Innovation Centre (CPCIC).</w:t>
            </w:r>
          </w:p>
          <w:p>
            <w:pPr>
              <w:pStyle w:val="Normal"/>
              <w:spacing w:before="0" w:after="120"/>
              <w:jc w:val="both"/>
              <w:rPr>
                <w:rFonts w:ascii="Calibri" w:hAnsi="Calibri" w:cs="Calibri" w:asciiTheme="minorHAnsi" w:cstheme="minorHAnsi" w:hAnsiTheme="minorHAnsi"/>
              </w:rPr>
            </w:pPr>
            <w:r>
              <w:rPr>
                <w:rFonts w:cs="Calibri" w:cstheme="minorHAnsi" w:ascii="Calibri" w:hAnsi="Calibri"/>
              </w:rPr>
            </w:r>
          </w:p>
          <w:p>
            <w:pPr>
              <w:pStyle w:val="ListParagraph"/>
              <w:numPr>
                <w:ilvl w:val="0"/>
                <w:numId w:val="4"/>
              </w:numPr>
              <w:rPr>
                <w:rFonts w:ascii="Calibri" w:hAnsi="Calibri" w:cs="Calibri" w:asciiTheme="minorHAnsi" w:cstheme="minorHAnsi" w:hAnsiTheme="minorHAnsi"/>
                <w:b/>
                <w:b/>
                <w:u w:val="single"/>
              </w:rPr>
            </w:pPr>
            <w:r>
              <w:rPr>
                <w:rFonts w:cs="Calibri" w:ascii="Calibri" w:hAnsi="Calibri" w:asciiTheme="minorHAnsi" w:cstheme="minorHAnsi" w:hAnsiTheme="minorHAnsi"/>
                <w:b/>
                <w:u w:val="single"/>
              </w:rPr>
              <w:t>Rwanda Environment Management Authority (REMA)</w:t>
            </w:r>
          </w:p>
          <w:p>
            <w:pPr>
              <w:pStyle w:val="Normal"/>
              <w:spacing w:before="0" w:after="240"/>
              <w:jc w:val="both"/>
              <w:rPr>
                <w:rFonts w:ascii="Calibri" w:hAnsi="Calibri" w:cs="Calibri" w:asciiTheme="minorHAnsi" w:cstheme="minorHAnsi" w:hAnsiTheme="minorHAnsi"/>
                <w:highlight w:val="yellow"/>
              </w:rPr>
            </w:pPr>
            <w:r>
              <w:rPr>
                <w:rFonts w:cs="Calibri" w:cstheme="minorHAnsi" w:ascii="Calibri" w:hAnsi="Calibri"/>
                <w:highlight w:val="yellow"/>
              </w:rPr>
            </w:r>
          </w:p>
          <w:p>
            <w:pPr>
              <w:pStyle w:val="Normal"/>
              <w:spacing w:before="0" w:after="240"/>
              <w:ind w:left="60" w:hanging="0"/>
              <w:jc w:val="both"/>
              <w:rPr>
                <w:rFonts w:ascii="Calibri" w:hAnsi="Calibri" w:eastAsia="Calibri" w:cs="Calibri" w:asciiTheme="minorHAnsi" w:cstheme="minorHAnsi" w:hAnsiTheme="minorHAnsi"/>
                <w:highlight w:val="yellow"/>
              </w:rPr>
            </w:pPr>
            <w:r>
              <w:rPr>
                <w:rFonts w:eastAsia="Calibri" w:cs="Calibri" w:ascii="Calibri" w:hAnsi="Calibri" w:asciiTheme="minorHAnsi" w:cstheme="minorHAnsi" w:hAnsiTheme="minorHAnsi"/>
              </w:rPr>
              <w:t>As a public institution responsible for advising the government on policies, strategies and legislation related to the management of the environment and an enforcing agency, REMA has undertaken different successful initiatives or activities related to plastic pollution prevention and utilised various communication strategies to influence policy and behaviour change as illustrated below:</w:t>
            </w:r>
          </w:p>
          <w:p>
            <w:pPr>
              <w:pStyle w:val="ListParagraph"/>
              <w:numPr>
                <w:ilvl w:val="0"/>
                <w:numId w:val="6"/>
              </w:numPr>
              <w:spacing w:before="0" w:after="240"/>
              <w:contextualSpacing/>
              <w:jc w:val="both"/>
              <w:rPr>
                <w:rFonts w:ascii="Calibri" w:hAnsi="Calibri" w:eastAsia="Calibri" w:cs="Calibri" w:asciiTheme="minorHAnsi" w:cstheme="minorHAnsi" w:hAnsiTheme="minorHAnsi"/>
              </w:rPr>
            </w:pPr>
            <w:r>
              <w:rPr>
                <w:rFonts w:eastAsia="Calibri" w:cs="Calibri" w:ascii="Calibri" w:hAnsi="Calibri" w:asciiTheme="minorHAnsi" w:cstheme="minorHAnsi" w:hAnsiTheme="minorHAnsi"/>
              </w:rPr>
              <w:t>High-level conference addressing plastic pollution of 29 May 2018</w:t>
            </w:r>
          </w:p>
          <w:p>
            <w:pPr>
              <w:pStyle w:val="Normal"/>
              <w:spacing w:before="0" w:after="240"/>
              <w:jc w:val="both"/>
              <w:rPr>
                <w:rFonts w:ascii="Calibri" w:hAnsi="Calibri" w:eastAsia="Calibri" w:cs="Calibri" w:asciiTheme="minorHAnsi" w:cstheme="minorHAnsi" w:hAnsiTheme="minorHAnsi"/>
                <w:highlight w:val="yellow"/>
              </w:rPr>
            </w:pPr>
            <w:r>
              <w:rPr>
                <w:rFonts w:eastAsia="Calibri" w:cs="Calibri" w:ascii="Calibri" w:hAnsi="Calibri" w:asciiTheme="minorHAnsi" w:cstheme="minorHAnsi" w:hAnsiTheme="minorHAnsi"/>
              </w:rPr>
              <w:t>https://rema.gov.rw/index.php?id=77&amp;tx_news_pi1%5Bnews%5D=4&amp;tx_news_pi1%5Bday%5D=30&amp;tx_news_pi1%5Bmonth%5D=5&amp;tx_news_pi1%5Byear%5D=2018&amp;cHash=e3cc36b34a5d87d3692fb0fbce434138</w:t>
            </w:r>
          </w:p>
          <w:p>
            <w:pPr>
              <w:pStyle w:val="ListParagraph"/>
              <w:numPr>
                <w:ilvl w:val="0"/>
                <w:numId w:val="6"/>
              </w:numPr>
              <w:spacing w:before="0" w:after="240"/>
              <w:contextualSpacing/>
              <w:jc w:val="both"/>
              <w:rPr>
                <w:rFonts w:ascii="Calibri" w:hAnsi="Calibri" w:eastAsia="Calibri" w:cs="Calibri" w:asciiTheme="minorHAnsi" w:cstheme="minorHAnsi" w:hAnsiTheme="minorHAnsi"/>
              </w:rPr>
            </w:pPr>
            <w:r>
              <w:rPr>
                <w:rFonts w:eastAsia="Calibri" w:cs="Calibri" w:ascii="Calibri" w:hAnsi="Calibri" w:asciiTheme="minorHAnsi" w:cstheme="minorHAnsi" w:hAnsiTheme="minorHAnsi"/>
              </w:rPr>
              <w:t xml:space="preserve">Beat plastic pollution walk of 3 June 2018 https://www.flickr.com/photos/rema-rwanda/40863461080/ and </w:t>
            </w:r>
            <w:hyperlink r:id="rId4">
              <w:r>
                <w:rPr>
                  <w:rStyle w:val="InternetLink"/>
                  <w:rFonts w:eastAsia="Calibri" w:cs="Calibri" w:ascii="Calibri" w:hAnsi="Calibri" w:asciiTheme="minorHAnsi" w:cstheme="minorHAnsi" w:hAnsiTheme="minorHAnsi"/>
                </w:rPr>
                <w:t>https://www.flickr.com/photos/rema-rwanda/28799153618/</w:t>
              </w:r>
            </w:hyperlink>
          </w:p>
          <w:p>
            <w:pPr>
              <w:pStyle w:val="ListParagraph"/>
              <w:numPr>
                <w:ilvl w:val="0"/>
                <w:numId w:val="6"/>
              </w:numPr>
              <w:spacing w:before="0" w:after="240"/>
              <w:contextualSpacing/>
              <w:jc w:val="both"/>
              <w:rPr>
                <w:rFonts w:ascii="Calibri" w:hAnsi="Calibri" w:eastAsia="Calibri" w:cs="Calibri" w:asciiTheme="minorHAnsi" w:cstheme="minorHAnsi" w:hAnsiTheme="minorHAnsi"/>
              </w:rPr>
            </w:pPr>
            <w:r>
              <w:rPr>
                <w:rFonts w:eastAsia="Calibri" w:cs="Calibri" w:ascii="Calibri" w:hAnsi="Calibri" w:asciiTheme="minorHAnsi" w:cstheme="minorHAnsi" w:hAnsiTheme="minorHAnsi"/>
              </w:rPr>
              <w:t xml:space="preserve">Direct communication with the public during inspection and monitoring of the implementation of the current plastic law (e. g: 10-11 September 2020) </w:t>
            </w:r>
          </w:p>
          <w:p>
            <w:pPr>
              <w:pStyle w:val="ListParagraph"/>
              <w:numPr>
                <w:ilvl w:val="0"/>
                <w:numId w:val="6"/>
              </w:numPr>
              <w:spacing w:before="0" w:after="240"/>
              <w:contextualSpacing/>
              <w:jc w:val="both"/>
              <w:rPr>
                <w:rFonts w:ascii="Calibri" w:hAnsi="Calibri" w:eastAsia="Calibri" w:cs="Calibri" w:asciiTheme="minorHAnsi" w:cstheme="minorHAnsi" w:hAnsiTheme="minorHAnsi"/>
              </w:rPr>
            </w:pPr>
            <w:r>
              <w:rPr>
                <w:rFonts w:eastAsia="Calibri" w:cs="Calibri" w:ascii="Calibri" w:hAnsi="Calibri" w:asciiTheme="minorHAnsi" w:cstheme="minorHAnsi" w:hAnsiTheme="minorHAnsi"/>
              </w:rPr>
              <w:t xml:space="preserve">https://www.newtimes.co.rw/section/read/181672 or </w:t>
            </w:r>
            <w:hyperlink r:id="rId5">
              <w:r>
                <w:rPr>
                  <w:rStyle w:val="InternetLink"/>
                  <w:rFonts w:eastAsia="Calibri" w:cs="Calibri" w:ascii="Calibri" w:hAnsi="Calibri" w:asciiTheme="minorHAnsi" w:cstheme="minorHAnsi" w:hAnsiTheme="minorHAnsi"/>
                </w:rPr>
                <w:t>https://rema.gov.rw/index.php?id=77&amp;L=0&amp;tx_news_pi1%5Bnews%5D=6&amp;tx_news_pi1%5Bday%5D=5&amp;tx_news_pi1%5Bmonth%5D=6&amp;tx_news_pi1%5Byear%5D=2018&amp;cHash=80174194e9940a0a64bb807394902b30</w:t>
              </w:r>
            </w:hyperlink>
          </w:p>
          <w:p>
            <w:pPr>
              <w:pStyle w:val="ListParagraph"/>
              <w:numPr>
                <w:ilvl w:val="0"/>
                <w:numId w:val="6"/>
              </w:numPr>
              <w:spacing w:before="0" w:after="240"/>
              <w:contextualSpacing/>
              <w:jc w:val="both"/>
              <w:rPr>
                <w:rFonts w:ascii="Calibri" w:hAnsi="Calibri" w:eastAsia="Calibri" w:cs="Calibri" w:asciiTheme="minorHAnsi" w:cstheme="minorHAnsi" w:hAnsiTheme="minorHAnsi"/>
              </w:rPr>
            </w:pPr>
            <w:hyperlink r:id="rId6">
              <w:r>
                <w:rPr>
                  <w:rStyle w:val="InternetLink"/>
                  <w:rFonts w:eastAsia="Calibri" w:cs="Calibri" w:ascii="Calibri" w:hAnsi="Calibri" w:asciiTheme="minorHAnsi" w:cstheme="minorHAnsi" w:hAnsiTheme="minorHAnsi"/>
                </w:rPr>
                <w:t>https://www.rema.gov.rw/index.php?id=77&amp;tx_news_pi1%5Bnews%5D=86&amp;tx_news_pi1%5Bday%5D=10&amp;tx_news_pi1%5Bmonth%5D=9&amp;tx_news_pi1%5Byear%5D=2020&amp;cHash=319b07b2c942d44e4a07bd8d19db9399</w:t>
              </w:r>
            </w:hyperlink>
          </w:p>
          <w:p>
            <w:pPr>
              <w:pStyle w:val="ListParagraph"/>
              <w:numPr>
                <w:ilvl w:val="0"/>
                <w:numId w:val="6"/>
              </w:numPr>
              <w:spacing w:before="0" w:after="240"/>
              <w:contextualSpacing/>
              <w:jc w:val="both"/>
              <w:rPr>
                <w:rFonts w:ascii="Calibri" w:hAnsi="Calibri" w:eastAsia="Calibri" w:cs="Calibri" w:asciiTheme="minorHAnsi" w:cstheme="minorHAnsi" w:hAnsiTheme="minorHAnsi"/>
              </w:rPr>
            </w:pPr>
            <w:r>
              <w:rPr>
                <w:rFonts w:eastAsia="Calibri" w:cs="Calibri" w:ascii="Calibri" w:hAnsi="Calibri" w:asciiTheme="minorHAnsi" w:cstheme="minorHAnsi" w:hAnsiTheme="minorHAnsi"/>
              </w:rPr>
              <w:t xml:space="preserve">Collaboration with different public and plastic institutions in the fight against plastic pollution </w:t>
            </w:r>
            <w:hyperlink r:id="rId7">
              <w:r>
                <w:rPr>
                  <w:rStyle w:val="InternetLink"/>
                  <w:rFonts w:eastAsia="Calibri" w:cs="Calibri" w:ascii="Calibri" w:hAnsi="Calibri" w:asciiTheme="minorHAnsi" w:cstheme="minorHAnsi" w:hAnsiTheme="minorHAnsi"/>
                </w:rPr>
                <w:t>https://rema.gov.rw/index.php?id=77&amp;L=0&amp;tx_news_pi1%5Bnews%5D=90&amp;tx_news_pi1%5Bday%5D=15&amp;tx_news_pi1%5Bmonth%5D=10&amp;tx_news_pi1%5Byear%5D=2020&amp;cHash=e9b19c04d76315c091c4b0859249ce3a</w:t>
              </w:r>
            </w:hyperlink>
          </w:p>
          <w:p>
            <w:pPr>
              <w:pStyle w:val="ListParagraph"/>
              <w:numPr>
                <w:ilvl w:val="0"/>
                <w:numId w:val="6"/>
              </w:numPr>
              <w:spacing w:before="0" w:after="240"/>
              <w:contextualSpacing/>
              <w:jc w:val="both"/>
              <w:rPr>
                <w:rFonts w:ascii="Calibri" w:hAnsi="Calibri" w:eastAsia="Calibri" w:cs="Calibri" w:asciiTheme="minorHAnsi" w:cstheme="minorHAnsi" w:hAnsiTheme="minorHAnsi"/>
              </w:rPr>
            </w:pPr>
            <w:r>
              <w:rPr>
                <w:rFonts w:eastAsia="Calibri" w:cs="Calibri" w:ascii="Calibri" w:hAnsi="Calibri" w:asciiTheme="minorHAnsi" w:cstheme="minorHAnsi" w:hAnsiTheme="minorHAnsi"/>
              </w:rPr>
              <w:t>Sensitization of laws and regulations governing plastics among the public using different communication channels: direct presentations, mass media (TV, Radio, etc.)</w:t>
            </w:r>
          </w:p>
          <w:p>
            <w:pPr>
              <w:pStyle w:val="ListParagraph"/>
              <w:numPr>
                <w:ilvl w:val="0"/>
                <w:numId w:val="6"/>
              </w:numPr>
              <w:spacing w:before="0" w:after="240"/>
              <w:contextualSpacing/>
              <w:jc w:val="both"/>
              <w:rPr>
                <w:rFonts w:ascii="Calibri" w:hAnsi="Calibri" w:eastAsia="Calibri" w:cs="Calibri" w:asciiTheme="minorHAnsi" w:cstheme="minorHAnsi" w:hAnsiTheme="minorHAnsi"/>
              </w:rPr>
            </w:pPr>
            <w:r>
              <w:rPr>
                <w:rFonts w:eastAsia="Calibri" w:cs="Calibri" w:ascii="Calibri" w:hAnsi="Calibri" w:asciiTheme="minorHAnsi" w:cstheme="minorHAnsi" w:hAnsiTheme="minorHAnsi"/>
              </w:rPr>
              <w:t>Rema played a major role in adoption of Law no 17/2019 of 10/08/2019 relating to the prohibition of manufacturing, importation, use and sale of plastic carry bags and single-use plastic items.</w:t>
            </w:r>
          </w:p>
          <w:p>
            <w:pPr>
              <w:pStyle w:val="ListParagraph"/>
              <w:numPr>
                <w:ilvl w:val="0"/>
                <w:numId w:val="0"/>
              </w:numPr>
              <w:spacing w:before="0" w:after="240"/>
              <w:ind w:left="1500" w:hanging="0"/>
              <w:contextualSpacing/>
              <w:jc w:val="both"/>
              <w:rPr>
                <w:rFonts w:ascii="Calibri" w:hAnsi="Calibri" w:eastAsia="Calibri" w:cs="Calibri" w:asciiTheme="minorHAnsi" w:cstheme="minorHAnsi" w:hAnsiTheme="minorHAnsi"/>
              </w:rPr>
            </w:pPr>
            <w:r>
              <w:rPr/>
            </w:r>
          </w:p>
          <w:p>
            <w:pPr>
              <w:pStyle w:val="ListParagraph"/>
              <w:spacing w:before="0" w:after="240"/>
              <w:ind w:left="780" w:hanging="0"/>
              <w:contextualSpacing/>
              <w:jc w:val="both"/>
              <w:rPr>
                <w:rFonts w:ascii="Calibri" w:hAnsi="Calibri" w:eastAsia="Calibri" w:cs="Calibri" w:asciiTheme="minorHAnsi" w:cstheme="minorHAnsi" w:hAnsiTheme="minorHAnsi"/>
              </w:rPr>
            </w:pPr>
            <w:r>
              <w:rPr>
                <w:rFonts w:eastAsia="Calibri" w:cs="Calibri" w:cstheme="minorHAnsi" w:ascii="Calibri" w:hAnsi="Calibri"/>
              </w:rPr>
            </w:r>
          </w:p>
          <w:p>
            <w:pPr>
              <w:pStyle w:val="ListParagraph"/>
              <w:numPr>
                <w:ilvl w:val="0"/>
                <w:numId w:val="4"/>
              </w:numPr>
              <w:spacing w:before="0" w:after="120"/>
              <w:contextualSpacing/>
              <w:jc w:val="both"/>
              <w:rPr>
                <w:rFonts w:ascii="Calibri" w:hAnsi="Calibri" w:cs="Calibri" w:asciiTheme="minorHAnsi" w:cstheme="minorHAnsi" w:hAnsiTheme="minorHAnsi"/>
                <w:b/>
                <w:b/>
              </w:rPr>
            </w:pPr>
            <w:r>
              <w:rPr>
                <w:rFonts w:cs="Calibri" w:ascii="Calibri" w:hAnsi="Calibri" w:asciiTheme="minorHAnsi" w:cstheme="minorHAnsi" w:hAnsiTheme="minorHAnsi"/>
                <w:b/>
              </w:rPr>
              <w:t>Cleaner Production &amp; Climate Innovation Centre (CPCIC)</w:t>
            </w:r>
          </w:p>
          <w:p>
            <w:pPr>
              <w:pStyle w:val="Normal"/>
              <w:spacing w:before="0" w:after="120"/>
              <w:jc w:val="both"/>
              <w:rPr>
                <w:rFonts w:ascii="Calibri" w:hAnsi="Calibri" w:cs="Calibri" w:asciiTheme="minorHAnsi" w:cstheme="minorHAnsi" w:hAnsiTheme="minorHAnsi"/>
              </w:rPr>
            </w:pPr>
            <w:r>
              <w:rPr>
                <w:rFonts w:cs="Calibri" w:ascii="Calibri" w:hAnsi="Calibri" w:asciiTheme="minorHAnsi" w:cstheme="minorHAnsi" w:hAnsiTheme="minorHAnsi"/>
              </w:rPr>
              <w:t xml:space="preserve">CPCIC provides policy guidance based on interactions with the private sector especially with regards to regulatory requirements. Some examples include the following: </w:t>
            </w:r>
          </w:p>
          <w:p>
            <w:pPr>
              <w:pStyle w:val="ListParagraph"/>
              <w:numPr>
                <w:ilvl w:val="0"/>
                <w:numId w:val="5"/>
              </w:numPr>
              <w:spacing w:before="0" w:after="120"/>
              <w:contextualSpacing/>
              <w:jc w:val="both"/>
              <w:rPr>
                <w:rFonts w:ascii="Calibri" w:hAnsi="Calibri" w:cs="Calibri" w:asciiTheme="minorHAnsi" w:cstheme="minorHAnsi" w:hAnsiTheme="minorHAnsi"/>
              </w:rPr>
            </w:pPr>
            <w:r>
              <w:rPr>
                <w:rFonts w:cs="Calibri" w:ascii="Calibri" w:hAnsi="Calibri" w:asciiTheme="minorHAnsi" w:cstheme="minorHAnsi" w:hAnsiTheme="minorHAnsi"/>
              </w:rPr>
              <w:t xml:space="preserve">CPCIC  organized a workshop on “Identified Industrial Symbiotic Exchanges for Circular Economy projects”,  3 March 2021 with the following achievements:  </w:t>
            </w:r>
          </w:p>
          <w:p>
            <w:pPr>
              <w:pStyle w:val="ListParagraph"/>
              <w:numPr>
                <w:ilvl w:val="0"/>
                <w:numId w:val="7"/>
              </w:numPr>
              <w:spacing w:before="0" w:after="120"/>
              <w:contextualSpacing/>
              <w:jc w:val="both"/>
              <w:rPr>
                <w:rFonts w:ascii="Calibri" w:hAnsi="Calibri" w:cs="Calibri" w:asciiTheme="minorHAnsi" w:cstheme="minorHAnsi" w:hAnsiTheme="minorHAnsi"/>
              </w:rPr>
            </w:pPr>
            <w:r>
              <w:rPr>
                <w:rFonts w:cs="Calibri" w:ascii="Calibri" w:hAnsi="Calibri" w:asciiTheme="minorHAnsi" w:cstheme="minorHAnsi" w:hAnsiTheme="minorHAnsi"/>
              </w:rPr>
              <w:t xml:space="preserve">It identified available opportunities in different industrial symbiosis including those related to plastic waste management such us turning plastic waste to plastic paves or to polythene tubes and PET bottles waste to PET pre-forms. </w:t>
            </w:r>
          </w:p>
          <w:p>
            <w:pPr>
              <w:pStyle w:val="ListParagraph"/>
              <w:numPr>
                <w:ilvl w:val="0"/>
                <w:numId w:val="7"/>
              </w:numPr>
              <w:spacing w:before="0" w:after="120"/>
              <w:contextualSpacing/>
              <w:jc w:val="both"/>
              <w:rPr>
                <w:rFonts w:ascii="Calibri" w:hAnsi="Calibri" w:cs="Calibri" w:asciiTheme="minorHAnsi" w:cstheme="minorHAnsi" w:hAnsiTheme="minorHAnsi"/>
              </w:rPr>
            </w:pPr>
            <w:r>
              <w:rPr>
                <w:rFonts w:cs="Calibri" w:ascii="Calibri" w:hAnsi="Calibri" w:asciiTheme="minorHAnsi" w:cstheme="minorHAnsi" w:hAnsiTheme="minorHAnsi"/>
              </w:rPr>
              <w:t>It has also identified potential industrial symbiosis including PET bottles waste to plastic recycling.</w:t>
            </w:r>
          </w:p>
          <w:p>
            <w:pPr>
              <w:pStyle w:val="ListParagraph"/>
              <w:numPr>
                <w:ilvl w:val="0"/>
                <w:numId w:val="5"/>
              </w:numPr>
              <w:spacing w:before="0" w:after="120"/>
              <w:contextualSpacing/>
              <w:jc w:val="both"/>
              <w:rPr>
                <w:rFonts w:ascii="Calibri" w:hAnsi="Calibri" w:cs="Calibri" w:asciiTheme="minorHAnsi" w:cstheme="minorHAnsi" w:hAnsiTheme="minorHAnsi"/>
              </w:rPr>
            </w:pPr>
            <w:r>
              <w:rPr>
                <w:rFonts w:cs="Calibri" w:ascii="Calibri" w:hAnsi="Calibri" w:asciiTheme="minorHAnsi" w:cstheme="minorHAnsi" w:hAnsiTheme="minorHAnsi"/>
              </w:rPr>
              <w:t>CPCIC used various communication channels including direct presentations and discussions, mass media (tv, radio, press), social media (twitter, flikr) and street advertisement (banner) and this has contributed to legal and policy framework implementation and enforcement, and contributed to behaviour change.</w:t>
            </w:r>
          </w:p>
        </w:tc>
      </w:tr>
      <w:tr>
        <w:trPr>
          <w:trHeight w:val="924" w:hRule="atLeast"/>
        </w:trPr>
        <w:tc>
          <w:tcPr>
            <w:tcW w:w="875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20"/>
              <w:jc w:val="both"/>
              <w:rPr>
                <w:rFonts w:ascii="Calibri" w:hAnsi="Calibri" w:cs="Calibri" w:asciiTheme="minorHAnsi" w:cstheme="minorHAnsi" w:hAnsiTheme="minorHAnsi"/>
                <w:b/>
                <w:b/>
              </w:rPr>
            </w:pPr>
            <w:r>
              <w:rPr>
                <w:rFonts w:cs="Calibri" w:ascii="Calibri" w:hAnsi="Calibri" w:asciiTheme="minorHAnsi" w:cstheme="minorHAnsi" w:hAnsiTheme="minorHAnsi"/>
                <w:b/>
              </w:rPr>
              <w:t>Implications for policy and recommendations:</w:t>
            </w:r>
          </w:p>
          <w:p>
            <w:pPr>
              <w:pStyle w:val="ListParagraph"/>
              <w:numPr>
                <w:ilvl w:val="0"/>
                <w:numId w:val="2"/>
              </w:numPr>
              <w:suppressAutoHyphens w:val="false"/>
              <w:jc w:val="both"/>
              <w:rPr>
                <w:rFonts w:ascii="Calibri" w:hAnsi="Calibri" w:cs="Calibri" w:asciiTheme="minorHAnsi" w:cstheme="minorHAnsi" w:hAnsiTheme="minorHAnsi"/>
                <w:b/>
                <w:b/>
                <w:lang w:val="en-ZA"/>
              </w:rPr>
            </w:pPr>
            <w:r>
              <w:rPr>
                <w:rFonts w:cs="Calibri" w:ascii="Calibri" w:hAnsi="Calibri" w:asciiTheme="minorHAnsi" w:cstheme="minorHAnsi" w:hAnsiTheme="minorHAnsi"/>
                <w:b/>
                <w:lang w:val="en-ZA"/>
              </w:rPr>
              <w:t>Revise existing plastics related laws or regulations to cover the management of all plastics in their entire life cycle from manufacturing to disposal.</w:t>
            </w:r>
          </w:p>
          <w:p>
            <w:pPr>
              <w:pStyle w:val="ListParagraph"/>
              <w:numPr>
                <w:ilvl w:val="0"/>
                <w:numId w:val="2"/>
              </w:numPr>
              <w:suppressAutoHyphens w:val="false"/>
              <w:jc w:val="both"/>
              <w:rPr>
                <w:rFonts w:ascii="Calibri" w:hAnsi="Calibri" w:cs="Calibri" w:asciiTheme="minorHAnsi" w:cstheme="minorHAnsi" w:hAnsiTheme="minorHAnsi"/>
                <w:b/>
                <w:b/>
                <w:lang w:val="en-ZA"/>
              </w:rPr>
            </w:pPr>
            <w:r>
              <w:rPr>
                <w:rFonts w:cs="Calibri" w:ascii="Calibri" w:hAnsi="Calibri" w:asciiTheme="minorHAnsi" w:cstheme="minorHAnsi" w:hAnsiTheme="minorHAnsi"/>
                <w:b/>
                <w:lang w:val="en-ZA"/>
              </w:rPr>
              <w:t>Conduct regular communication activities related to plastics management and governance through tailoring suitable communication products and channels to specific audiences:</w:t>
            </w:r>
          </w:p>
          <w:p>
            <w:pPr>
              <w:pStyle w:val="ListParagraph"/>
              <w:numPr>
                <w:ilvl w:val="0"/>
                <w:numId w:val="8"/>
              </w:numPr>
              <w:suppressAutoHyphens w:val="false"/>
              <w:jc w:val="both"/>
              <w:rPr>
                <w:rFonts w:ascii="Calibri" w:hAnsi="Calibri" w:cs="Calibri" w:asciiTheme="minorHAnsi" w:cstheme="minorHAnsi" w:hAnsiTheme="minorHAnsi"/>
                <w:lang w:val="en-ZA"/>
              </w:rPr>
            </w:pPr>
            <w:r>
              <w:rPr>
                <w:rFonts w:cs="Calibri" w:ascii="Calibri" w:hAnsi="Calibri" w:asciiTheme="minorHAnsi" w:cstheme="minorHAnsi" w:hAnsiTheme="minorHAnsi"/>
                <w:lang w:val="en-ZA"/>
              </w:rPr>
              <w:t>Mass media campaign (broadcast and online) using super media, radios – focusing on the ones with programmes in Kinyarwanda, e.g.: Kubaza bitera Kumenya on RBA, Ubyumva ute? On KT Radio, Rirarashe on TV1, Community radios (e.g. Rubavu, Nyagatare, etc.)</w:t>
            </w:r>
          </w:p>
          <w:p>
            <w:pPr>
              <w:pStyle w:val="ListParagraph"/>
              <w:numPr>
                <w:ilvl w:val="0"/>
                <w:numId w:val="8"/>
              </w:numPr>
              <w:suppressAutoHyphens w:val="false"/>
              <w:jc w:val="both"/>
              <w:rPr>
                <w:rFonts w:ascii="Calibri" w:hAnsi="Calibri" w:cs="Calibri" w:asciiTheme="minorHAnsi" w:cstheme="minorHAnsi" w:hAnsiTheme="minorHAnsi"/>
                <w:lang w:val="en-ZA"/>
              </w:rPr>
            </w:pPr>
            <w:r>
              <w:rPr>
                <w:rFonts w:cs="Calibri" w:ascii="Calibri" w:hAnsi="Calibri" w:asciiTheme="minorHAnsi" w:cstheme="minorHAnsi" w:hAnsiTheme="minorHAnsi"/>
                <w:lang w:val="en-ZA"/>
              </w:rPr>
              <w:t>Supplementary sponsored articles and news coverage through leading newsletters such as Imvaho Nshya, Newtimes, Igihe,  Kigali today, Umuseke</w:t>
            </w:r>
          </w:p>
          <w:p>
            <w:pPr>
              <w:pStyle w:val="ListParagraph"/>
              <w:numPr>
                <w:ilvl w:val="0"/>
                <w:numId w:val="8"/>
              </w:numPr>
              <w:suppressAutoHyphens w:val="false"/>
              <w:jc w:val="both"/>
              <w:rPr>
                <w:rFonts w:ascii="Calibri" w:hAnsi="Calibri" w:cs="Calibri" w:asciiTheme="minorHAnsi" w:cstheme="minorHAnsi" w:hAnsiTheme="minorHAnsi"/>
                <w:lang w:val="en-ZA"/>
              </w:rPr>
            </w:pPr>
            <w:r>
              <w:rPr>
                <w:rFonts w:cs="Calibri" w:ascii="Calibri" w:hAnsi="Calibri" w:asciiTheme="minorHAnsi" w:cstheme="minorHAnsi" w:hAnsiTheme="minorHAnsi"/>
                <w:lang w:val="en-ZA"/>
              </w:rPr>
              <w:t>Monthly  email updates for stakeholders</w:t>
            </w:r>
          </w:p>
          <w:p>
            <w:pPr>
              <w:pStyle w:val="ListParagraph"/>
              <w:numPr>
                <w:ilvl w:val="0"/>
                <w:numId w:val="8"/>
              </w:numPr>
              <w:suppressAutoHyphens w:val="false"/>
              <w:jc w:val="both"/>
              <w:rPr>
                <w:rFonts w:ascii="Calibri" w:hAnsi="Calibri" w:cs="Calibri" w:asciiTheme="minorHAnsi" w:cstheme="minorHAnsi" w:hAnsiTheme="minorHAnsi"/>
                <w:lang w:val="en-ZA"/>
              </w:rPr>
            </w:pPr>
            <w:r>
              <w:rPr>
                <w:rFonts w:cs="Calibri" w:ascii="Calibri" w:hAnsi="Calibri" w:asciiTheme="minorHAnsi" w:cstheme="minorHAnsi" w:hAnsiTheme="minorHAnsi"/>
                <w:lang w:val="en-ZA"/>
              </w:rPr>
              <w:t xml:space="preserve"> </w:t>
            </w:r>
            <w:r>
              <w:rPr>
                <w:rFonts w:cs="Calibri" w:ascii="Calibri" w:hAnsi="Calibri" w:asciiTheme="minorHAnsi" w:cstheme="minorHAnsi" w:hAnsiTheme="minorHAnsi"/>
                <w:lang w:val="en-ZA"/>
              </w:rPr>
              <w:t>Feature stories, profiles, infographics</w:t>
            </w:r>
          </w:p>
          <w:p>
            <w:pPr>
              <w:pStyle w:val="ListParagraph"/>
              <w:numPr>
                <w:ilvl w:val="0"/>
                <w:numId w:val="8"/>
              </w:numPr>
              <w:suppressAutoHyphens w:val="false"/>
              <w:jc w:val="both"/>
              <w:rPr>
                <w:rFonts w:ascii="Calibri" w:hAnsi="Calibri" w:cs="Calibri" w:asciiTheme="minorHAnsi" w:cstheme="minorHAnsi" w:hAnsiTheme="minorHAnsi"/>
                <w:lang w:val="en-ZA"/>
              </w:rPr>
            </w:pPr>
            <w:r>
              <w:rPr>
                <w:rFonts w:cs="Calibri" w:ascii="Calibri" w:hAnsi="Calibri" w:asciiTheme="minorHAnsi" w:cstheme="minorHAnsi" w:hAnsiTheme="minorHAnsi"/>
                <w:lang w:val="en-ZA"/>
              </w:rPr>
              <w:t>Audio: Podcasts, audio documentary</w:t>
            </w:r>
          </w:p>
          <w:p>
            <w:pPr>
              <w:pStyle w:val="ListParagraph"/>
              <w:numPr>
                <w:ilvl w:val="0"/>
                <w:numId w:val="8"/>
              </w:numPr>
              <w:suppressAutoHyphens w:val="false"/>
              <w:jc w:val="both"/>
              <w:rPr>
                <w:rFonts w:ascii="Calibri" w:hAnsi="Calibri" w:cs="Calibri" w:asciiTheme="minorHAnsi" w:cstheme="minorHAnsi" w:hAnsiTheme="minorHAnsi"/>
                <w:lang w:val="en-ZA"/>
              </w:rPr>
            </w:pPr>
            <w:r>
              <w:rPr>
                <w:rFonts w:cs="Calibri" w:ascii="Calibri" w:hAnsi="Calibri" w:asciiTheme="minorHAnsi" w:cstheme="minorHAnsi" w:hAnsiTheme="minorHAnsi"/>
                <w:lang w:val="en-ZA"/>
              </w:rPr>
              <w:t>Visuals such as Youtube</w:t>
            </w:r>
          </w:p>
          <w:p>
            <w:pPr>
              <w:pStyle w:val="ListParagraph"/>
              <w:numPr>
                <w:ilvl w:val="0"/>
                <w:numId w:val="8"/>
              </w:numPr>
              <w:rPr>
                <w:rFonts w:ascii="Calibri" w:hAnsi="Calibri" w:cs="Calibri" w:asciiTheme="minorHAnsi" w:cstheme="minorHAnsi" w:hAnsiTheme="minorHAnsi"/>
                <w:lang w:val="en-ZA"/>
              </w:rPr>
            </w:pPr>
            <w:r>
              <w:rPr>
                <w:rFonts w:cs="Calibri" w:ascii="Calibri" w:hAnsi="Calibri" w:asciiTheme="minorHAnsi" w:cstheme="minorHAnsi" w:hAnsiTheme="minorHAnsi"/>
                <w:lang w:val="en-ZA"/>
              </w:rPr>
              <w:t>Organising an interactive online platform and/or webinar to enhance dialogue and debate on plastic pollution among key stakeholders on regular basis</w:t>
            </w:r>
          </w:p>
          <w:p>
            <w:pPr>
              <w:pStyle w:val="ListParagraph"/>
              <w:numPr>
                <w:ilvl w:val="0"/>
                <w:numId w:val="8"/>
              </w:numPr>
              <w:rPr>
                <w:rFonts w:ascii="Calibri" w:hAnsi="Calibri" w:cs="Calibri" w:asciiTheme="minorHAnsi" w:cstheme="minorHAnsi" w:hAnsiTheme="minorHAnsi"/>
                <w:lang w:val="en-ZA"/>
              </w:rPr>
            </w:pPr>
            <w:r>
              <w:rPr>
                <w:rFonts w:cs="Calibri" w:ascii="Calibri" w:hAnsi="Calibri" w:asciiTheme="minorHAnsi" w:cstheme="minorHAnsi" w:hAnsiTheme="minorHAnsi"/>
                <w:lang w:val="en-ZA"/>
              </w:rPr>
              <w:t xml:space="preserve">Cultural activities - traditional dances, plays and drama on plastic governance, e.g. Using </w:t>
            </w:r>
            <w:r>
              <w:rPr>
                <w:rFonts w:cs="Calibri" w:ascii="Calibri" w:hAnsi="Calibri" w:asciiTheme="minorHAnsi" w:cstheme="minorHAnsi" w:hAnsiTheme="minorHAnsi"/>
                <w:i/>
                <w:lang w:val="en-ZA"/>
              </w:rPr>
              <w:t xml:space="preserve">Urunana </w:t>
            </w:r>
            <w:r>
              <w:rPr>
                <w:rFonts w:cs="Calibri" w:ascii="Calibri" w:hAnsi="Calibri" w:asciiTheme="minorHAnsi" w:cstheme="minorHAnsi" w:hAnsiTheme="minorHAnsi"/>
                <w:lang w:val="en-ZA"/>
              </w:rPr>
              <w:t>preventing plastic pollution</w:t>
            </w:r>
          </w:p>
          <w:p>
            <w:pPr>
              <w:pStyle w:val="ListParagraph"/>
              <w:numPr>
                <w:ilvl w:val="0"/>
                <w:numId w:val="8"/>
              </w:numPr>
              <w:suppressAutoHyphens w:val="false"/>
              <w:jc w:val="both"/>
              <w:rPr>
                <w:rFonts w:ascii="Calibri" w:hAnsi="Calibri" w:cs="Calibri" w:asciiTheme="minorHAnsi" w:cstheme="minorHAnsi" w:hAnsiTheme="minorHAnsi"/>
                <w:lang w:val="en-ZA"/>
              </w:rPr>
            </w:pPr>
            <w:r>
              <w:rPr>
                <w:rFonts w:cs="Calibri" w:ascii="Calibri" w:hAnsi="Calibri" w:asciiTheme="minorHAnsi" w:cstheme="minorHAnsi" w:hAnsiTheme="minorHAnsi"/>
                <w:lang w:val="en-ZA"/>
              </w:rPr>
              <w:t xml:space="preserve">Community-based awareness campaigns (e.g. </w:t>
            </w:r>
            <w:r>
              <w:rPr>
                <w:rFonts w:cs="Calibri" w:ascii="Calibri" w:hAnsi="Calibri" w:asciiTheme="minorHAnsi" w:cstheme="minorHAnsi" w:hAnsiTheme="minorHAnsi"/>
                <w:i/>
                <w:lang w:val="en-ZA"/>
              </w:rPr>
              <w:t>Umuganda, Umugoroba w’umuryango, inteko z’abaturage</w:t>
            </w:r>
            <w:r>
              <w:rPr>
                <w:rFonts w:cs="Calibri" w:ascii="Calibri" w:hAnsi="Calibri" w:asciiTheme="minorHAnsi" w:cstheme="minorHAnsi" w:hAnsiTheme="minorHAnsi"/>
                <w:lang w:val="en-ZA"/>
              </w:rPr>
              <w:t xml:space="preserve">). </w:t>
            </w:r>
          </w:p>
          <w:p>
            <w:pPr>
              <w:pStyle w:val="ListParagraph"/>
              <w:numPr>
                <w:ilvl w:val="0"/>
                <w:numId w:val="0"/>
              </w:numPr>
              <w:suppressAutoHyphens w:val="false"/>
              <w:ind w:left="1080" w:hanging="0"/>
              <w:jc w:val="both"/>
              <w:rPr>
                <w:rFonts w:ascii="Calibri" w:hAnsi="Calibri" w:cs="Calibri" w:asciiTheme="minorHAnsi" w:cstheme="minorHAnsi" w:hAnsiTheme="minorHAnsi"/>
                <w:b/>
                <w:b/>
                <w:lang w:val="en-ZA"/>
              </w:rPr>
            </w:pPr>
            <w:r>
              <w:rPr/>
            </w:r>
          </w:p>
          <w:p>
            <w:pPr>
              <w:pStyle w:val="ListParagraph"/>
              <w:numPr>
                <w:ilvl w:val="0"/>
                <w:numId w:val="2"/>
              </w:numPr>
              <w:suppressAutoHyphens w:val="false"/>
              <w:jc w:val="both"/>
              <w:rPr>
                <w:rFonts w:ascii="Calibri" w:hAnsi="Calibri" w:cs="Calibri" w:asciiTheme="minorHAnsi" w:cstheme="minorHAnsi" w:hAnsiTheme="minorHAnsi"/>
                <w:b/>
                <w:b/>
                <w:lang w:val="en-ZA"/>
              </w:rPr>
            </w:pPr>
            <w:r>
              <w:rPr>
                <w:rFonts w:cs="Calibri" w:ascii="Calibri" w:hAnsi="Calibri" w:asciiTheme="minorHAnsi" w:cstheme="minorHAnsi" w:hAnsiTheme="minorHAnsi"/>
                <w:b/>
                <w:lang w:val="en-ZA"/>
              </w:rPr>
              <w:t>Regularly record data on enforcement of plastics related laws and regulations</w:t>
            </w:r>
          </w:p>
          <w:p>
            <w:pPr>
              <w:pStyle w:val="ListParagraph"/>
              <w:numPr>
                <w:ilvl w:val="0"/>
                <w:numId w:val="0"/>
              </w:numPr>
              <w:suppressAutoHyphens w:val="false"/>
              <w:ind w:left="1080" w:hanging="0"/>
              <w:jc w:val="both"/>
              <w:rPr>
                <w:rFonts w:ascii="Calibri" w:hAnsi="Calibri" w:cs="Calibri" w:asciiTheme="minorHAnsi" w:cstheme="minorHAnsi" w:hAnsiTheme="minorHAnsi"/>
                <w:b/>
                <w:b/>
                <w:lang w:val="en-ZA"/>
              </w:rPr>
            </w:pPr>
            <w:r>
              <w:rPr/>
            </w:r>
          </w:p>
          <w:p>
            <w:pPr>
              <w:pStyle w:val="ListParagraph"/>
              <w:numPr>
                <w:ilvl w:val="0"/>
                <w:numId w:val="2"/>
              </w:numPr>
              <w:suppressAutoHyphens w:val="false"/>
              <w:jc w:val="both"/>
              <w:rPr>
                <w:rFonts w:ascii="Calibri" w:hAnsi="Calibri" w:cs="Calibri" w:asciiTheme="minorHAnsi" w:cstheme="minorHAnsi" w:hAnsiTheme="minorHAnsi"/>
                <w:b/>
                <w:b/>
                <w:lang w:val="en-ZA"/>
              </w:rPr>
            </w:pPr>
            <w:r>
              <w:rPr>
                <w:rFonts w:cs="Calibri" w:ascii="Calibri" w:hAnsi="Calibri" w:asciiTheme="minorHAnsi" w:cstheme="minorHAnsi" w:hAnsiTheme="minorHAnsi"/>
                <w:b/>
                <w:lang w:val="en-ZA"/>
              </w:rPr>
              <w:t>Provide trainings in plastics recycling and circular economy</w:t>
            </w:r>
          </w:p>
          <w:p>
            <w:pPr>
              <w:pStyle w:val="ListParagraph"/>
              <w:numPr>
                <w:ilvl w:val="0"/>
                <w:numId w:val="0"/>
              </w:numPr>
              <w:suppressAutoHyphens w:val="false"/>
              <w:ind w:left="1080" w:hanging="0"/>
              <w:jc w:val="both"/>
              <w:rPr>
                <w:b/>
                <w:b/>
                <w:bCs/>
              </w:rPr>
            </w:pPr>
            <w:r>
              <w:rPr>
                <w:b/>
                <w:bCs/>
              </w:rPr>
            </w:r>
          </w:p>
          <w:p>
            <w:pPr>
              <w:pStyle w:val="ListParagraph"/>
              <w:numPr>
                <w:ilvl w:val="0"/>
                <w:numId w:val="2"/>
              </w:numPr>
              <w:suppressAutoHyphens w:val="false"/>
              <w:jc w:val="both"/>
              <w:rPr>
                <w:rFonts w:ascii="Calibri" w:hAnsi="Calibri" w:cs="Calibri" w:asciiTheme="minorHAnsi" w:cstheme="minorHAnsi" w:hAnsiTheme="minorHAnsi"/>
                <w:color w:val="4472C4" w:themeColor="accent1"/>
                <w:lang w:val="en-ZA"/>
              </w:rPr>
            </w:pPr>
            <w:r>
              <w:rPr>
                <w:rFonts w:cs="Calibri" w:ascii="Calibri" w:hAnsi="Calibri" w:asciiTheme="minorHAnsi" w:cstheme="minorHAnsi" w:hAnsiTheme="minorHAnsi"/>
                <w:b/>
                <w:bCs/>
                <w:lang w:val="en-ZA"/>
              </w:rPr>
              <w:t>Provide more incentives to innovative project</w:t>
            </w:r>
            <w:r>
              <w:rPr>
                <w:rFonts w:cs="Calibri" w:ascii="Calibri" w:hAnsi="Calibri" w:asciiTheme="minorHAnsi" w:cstheme="minorHAnsi" w:hAnsiTheme="minorHAnsi"/>
                <w:b/>
                <w:lang w:val="en-ZA"/>
              </w:rPr>
              <w:t>s</w:t>
            </w:r>
            <w:r>
              <w:rPr>
                <w:rFonts w:cs="Calibri" w:ascii="Calibri" w:hAnsi="Calibri" w:asciiTheme="minorHAnsi" w:cstheme="minorHAnsi" w:hAnsiTheme="minorHAnsi"/>
                <w:lang w:val="en-ZA"/>
              </w:rPr>
              <w:t xml:space="preserve"> contributing to management or reduction of plastic waste.</w:t>
            </w:r>
          </w:p>
        </w:tc>
      </w:tr>
    </w:tbl>
    <w:p>
      <w:pPr>
        <w:pStyle w:val="NormalWeb"/>
        <w:spacing w:before="0" w:after="0"/>
        <w:jc w:val="both"/>
        <w:rPr>
          <w:rFonts w:ascii="Calibri" w:hAnsi="Calibri" w:cs="Calibri" w:asciiTheme="minorHAnsi" w:cstheme="minorHAnsi" w:hAnsiTheme="minorHAnsi"/>
          <w:b/>
          <w:b/>
          <w:bCs/>
        </w:rPr>
      </w:pPr>
      <w:r>
        <w:rPr>
          <w:rFonts w:cs="Calibri" w:cstheme="minorHAnsi" w:ascii="Calibri" w:hAnsi="Calibri"/>
          <w:b/>
          <w:bCs/>
        </w:rPr>
      </w:r>
    </w:p>
    <w:p>
      <w:pPr>
        <w:pStyle w:val="Heading3"/>
        <w:spacing w:before="140" w:after="120"/>
        <w:rPr>
          <w:rFonts w:ascii="Calibri" w:hAnsi="Calibri" w:cs="Calibri" w:asciiTheme="minorHAnsi" w:cstheme="minorHAnsi" w:hAnsiTheme="minorHAnsi"/>
        </w:rPr>
      </w:pPr>
      <w:r>
        <w:rPr/>
      </w:r>
    </w:p>
    <w:sectPr>
      <w:headerReference w:type="default" r:id="rId8"/>
      <w:footerReference w:type="default" r:id="rId9"/>
      <w:type w:val="nextPage"/>
      <w:pgSz w:w="11906" w:h="16838"/>
      <w:pgMar w:left="1134" w:right="1274" w:header="1134" w:top="1191" w:footer="72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default"/>
  </w:font>
  <w:font w:name="Arial">
    <w:charset w:val="01"/>
    <w:family w:val="swiss"/>
    <w:pitch w:val="default"/>
  </w:font>
  <w:font w:name="Calibri Light">
    <w:charset w:val="01"/>
    <w:family w:val="swiss"/>
    <w:pitch w:val="default"/>
  </w:font>
  <w:font w:name="Calibri">
    <w:charset w:val="01"/>
    <w:family w:val="swiss"/>
    <w:pitch w:val="default"/>
  </w:font>
  <w:font w:name="Segoe UI">
    <w:charset w:val="01"/>
    <w:family w:val="swiss"/>
    <w:pitch w:val="default"/>
  </w:font>
  <w:font w:name="Courier New">
    <w:charset w:val="01"/>
    <w:family w:val="auto"/>
    <w:pitch w:val="default"/>
  </w:font>
  <w:font w:name="Wingdings">
    <w:charset w:val="02"/>
    <w:family w:val="auto"/>
    <w:pitch w:val="default"/>
  </w:font>
  <w:font w:name="Symbol">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815690358"/>
    </w:sdtPr>
    <w:sdtContent>
      <w:p>
        <w:pPr>
          <w:pStyle w:val="Footer"/>
          <w:rPr/>
        </w:pPr>
        <w:r>
          <w:rPr>
            <w:rStyle w:val="Pagenumber"/>
          </w:rPr>
          <w:fldChar w:fldCharType="begin"/>
        </w:r>
        <w:r>
          <w:rPr>
            <w:rStyle w:val="Pagenumber"/>
          </w:rPr>
          <w:instrText> PAGE </w:instrText>
        </w:r>
        <w:r>
          <w:rPr>
            <w:rStyle w:val="Pagenumber"/>
          </w:rPr>
          <w:fldChar w:fldCharType="separate"/>
        </w:r>
        <w:r>
          <w:rPr>
            <w:rStyle w:val="Pagenumber"/>
          </w:rPr>
          <w:t>5</w:t>
        </w:r>
        <w:r>
          <w:rPr>
            <w:rStyle w:val="Pagenumber"/>
          </w:rPr>
          <w:fldChar w:fldCharType="end"/>
        </w:r>
      </w:p>
    </w:sdtContent>
  </w:sdt>
  <w:p>
    <w:pPr>
      <w:pStyle w:val="Normal"/>
      <w:shd w:val="clear" w:color="auto" w:fill="FFFFFF"/>
      <w:suppressAutoHyphens w:val="false"/>
      <w:spacing w:before="75" w:after="75"/>
      <w:ind w:right="360" w:hanging="0"/>
      <w:rPr>
        <w:rFonts w:ascii="Segoe UI" w:hAnsi="Segoe UI" w:eastAsia="Times New Roman" w:cs="Segoe UI"/>
        <w:color w:val="66665C"/>
        <w:kern w:val="0"/>
        <w:sz w:val="20"/>
        <w:szCs w:val="20"/>
        <w:lang w:eastAsia="en-US" w:bidi="ar-SA"/>
      </w:rPr>
    </w:pPr>
    <w:r>
      <w:rPr>
        <w:rFonts w:eastAsia="Times New Roman" w:cs="Segoe UI" w:ascii="Segoe UI" w:hAnsi="Segoe UI"/>
        <w:color w:val="66665C"/>
        <w:kern w:val="0"/>
        <w:sz w:val="20"/>
        <w:szCs w:val="20"/>
        <w:lang w:eastAsia="en-US" w:bidi="ar-SA"/>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mc:AlternateContent>
        <mc:Choice Requires="wps">
          <w:drawing>
            <wp:anchor behindDoc="1" distT="0" distB="0" distL="0" distR="0" simplePos="0" locked="0" layoutInCell="1" allowOverlap="1" relativeHeight="6" wp14:anchorId="63D7D8D5">
              <wp:simplePos x="0" y="0"/>
              <wp:positionH relativeFrom="column">
                <wp:align>center</wp:align>
              </wp:positionH>
              <wp:positionV relativeFrom="margin">
                <wp:align>center</wp:align>
              </wp:positionV>
              <wp:extent cx="5199380" cy="1736090"/>
              <wp:effectExtent l="0" t="0" r="0" b="0"/>
              <wp:wrapNone/>
              <wp:docPr id="1" name="Image1"/>
              <a:graphic xmlns:a="http://schemas.openxmlformats.org/drawingml/2006/main">
                <a:graphicData uri="http://schemas.microsoft.com/office/word/2010/wordprocessingShape">
                  <wps:wsp>
                    <wps:cNvSpPr/>
                    <wps:spPr>
                      <a:xfrm rot="18900000">
                        <a:off x="0" y="0"/>
                        <a:ext cx="5198760" cy="1735560"/>
                      </a:xfrm>
                      <a:prstGeom prst="rect">
                        <a:avLst/>
                      </a:prstGeom>
                      <a:noFill/>
                      <a:ln>
                        <a:noFill/>
                      </a:ln>
                    </wps:spPr>
                    <wps:style>
                      <a:lnRef idx="0"/>
                      <a:fillRef idx="0"/>
                      <a:effectRef idx="0"/>
                      <a:fontRef idx="minor"/>
                    </wps:style>
                    <wps:txbx>
                      <w:txbxContent>
                        <w:p>
                          <w:pPr>
                            <w:pStyle w:val="NormalWeb"/>
                            <w:spacing w:before="0" w:after="0"/>
                            <w:jc w:val="center"/>
                            <w:rPr/>
                          </w:pPr>
                          <w:r>
                            <w:rPr>
                              <w:rFonts w:cs="Arial" w:ascii="Arial" w:hAnsi="Arial"/>
                              <w:color w:val="C0C0C0"/>
                              <w:sz w:val="72"/>
                              <w:szCs w:val="72"/>
                              <w:lang w:val="en-US"/>
                            </w:rPr>
                            <w:t>DRAFT</w:t>
                          </w:r>
                        </w:p>
                      </w:txbxContent>
                    </wps:txbx>
                    <wps:bodyPr>
                      <a:noAutofit/>
                    </wps:bodyPr>
                  </wps:wsp>
                </a:graphicData>
              </a:graphic>
            </wp:anchor>
          </w:drawing>
        </mc:Choice>
        <mc:Fallback>
          <w:pict>
            <v:rect id="shape_0" ID="Image1" stroked="f" style="position:absolute;margin-left:32.8pt;margin-top:282.85pt;width:409.3pt;height:136.6pt;rotation:315;mso-position-horizontal:center;mso-position-vertical:center;mso-position-vertical-relative:margin" wp14:anchorId="63D7D8D5">
              <w10:wrap type="square"/>
              <v:fill o:detectmouseclick="t" on="false"/>
              <v:stroke color="#3465a4" joinstyle="round" endcap="flat"/>
              <v:textbox>
                <w:txbxContent>
                  <w:p>
                    <w:pPr>
                      <w:pStyle w:val="NormalWeb"/>
                      <w:spacing w:before="0" w:after="0"/>
                      <w:jc w:val="center"/>
                      <w:rPr/>
                    </w:pPr>
                    <w:r>
                      <w:rPr>
                        <w:rFonts w:cs="Arial" w:ascii="Arial" w:hAnsi="Arial"/>
                        <w:color w:val="C0C0C0"/>
                        <w:sz w:val="72"/>
                        <w:szCs w:val="72"/>
                        <w:lang w:val="en-US"/>
                      </w:rPr>
                      <w:t>DRAFT</w:t>
                    </w:r>
                  </w:p>
                </w:txbxContent>
              </v:textbox>
            </v:rect>
          </w:pict>
        </mc:Fallback>
      </mc:AlternateContent>
      <w:drawing>
        <wp:anchor behindDoc="1" distT="0" distB="0" distL="0" distR="0" simplePos="0" locked="0" layoutInCell="1" allowOverlap="1" relativeHeight="11">
          <wp:simplePos x="0" y="0"/>
          <wp:positionH relativeFrom="column">
            <wp:posOffset>1722120</wp:posOffset>
          </wp:positionH>
          <wp:positionV relativeFrom="paragraph">
            <wp:posOffset>-547370</wp:posOffset>
          </wp:positionV>
          <wp:extent cx="2586355" cy="674370"/>
          <wp:effectExtent l="0" t="0" r="0" b="0"/>
          <wp:wrapSquare wrapText="largest"/>
          <wp:docPr id="3" name="Picture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7" descr=""/>
                  <pic:cNvPicPr>
                    <a:picLocks noChangeAspect="1" noChangeArrowheads="1"/>
                  </pic:cNvPicPr>
                </pic:nvPicPr>
                <pic:blipFill>
                  <a:blip r:embed="rId1"/>
                  <a:srcRect l="-17" t="-65" r="-17" b="-65"/>
                  <a:stretch>
                    <a:fillRect/>
                  </a:stretch>
                </pic:blipFill>
                <pic:spPr bwMode="auto">
                  <a:xfrm>
                    <a:off x="0" y="0"/>
                    <a:ext cx="2586355" cy="674370"/>
                  </a:xfrm>
                  <a:prstGeom prst="rect">
                    <a:avLst/>
                  </a:prstGeom>
                </pic:spPr>
              </pic:pic>
            </a:graphicData>
          </a:graphic>
        </wp:anchor>
      </w:drawing>
      <w:drawing>
        <wp:anchor behindDoc="1" distT="0" distB="0" distL="0" distR="0" simplePos="0" locked="0" layoutInCell="1" allowOverlap="1" relativeHeight="16">
          <wp:simplePos x="0" y="0"/>
          <wp:positionH relativeFrom="column">
            <wp:posOffset>3175</wp:posOffset>
          </wp:positionH>
          <wp:positionV relativeFrom="paragraph">
            <wp:posOffset>8743315</wp:posOffset>
          </wp:positionV>
          <wp:extent cx="2049780" cy="1228725"/>
          <wp:effectExtent l="0" t="0" r="0" b="0"/>
          <wp:wrapSquare wrapText="largest"/>
          <wp:docPr id="4"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 descr=""/>
                  <pic:cNvPicPr>
                    <a:picLocks noChangeAspect="1" noChangeArrowheads="1"/>
                  </pic:cNvPicPr>
                </pic:nvPicPr>
                <pic:blipFill>
                  <a:blip r:embed="rId2"/>
                  <a:stretch>
                    <a:fillRect/>
                  </a:stretch>
                </pic:blipFill>
                <pic:spPr bwMode="auto">
                  <a:xfrm>
                    <a:off x="0" y="0"/>
                    <a:ext cx="2049780" cy="1228725"/>
                  </a:xfrm>
                  <a:prstGeom prst="rect">
                    <a:avLst/>
                  </a:prstGeom>
                </pic:spPr>
              </pic:pic>
            </a:graphicData>
          </a:graphic>
        </wp:anchor>
      </w:drawing>
      <w:drawing>
        <wp:anchor behindDoc="1" distT="0" distB="0" distL="0" distR="0" simplePos="0" locked="0" layoutInCell="1" allowOverlap="1" relativeHeight="21">
          <wp:simplePos x="0" y="0"/>
          <wp:positionH relativeFrom="column">
            <wp:posOffset>4337050</wp:posOffset>
          </wp:positionH>
          <wp:positionV relativeFrom="paragraph">
            <wp:posOffset>8965565</wp:posOffset>
          </wp:positionV>
          <wp:extent cx="1224280" cy="930275"/>
          <wp:effectExtent l="0" t="0" r="0" b="0"/>
          <wp:wrapSquare wrapText="largest"/>
          <wp:docPr id="5"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2" descr=""/>
                  <pic:cNvPicPr>
                    <a:picLocks noChangeAspect="1" noChangeArrowheads="1"/>
                  </pic:cNvPicPr>
                </pic:nvPicPr>
                <pic:blipFill>
                  <a:blip r:embed="rId3"/>
                  <a:stretch>
                    <a:fillRect/>
                  </a:stretch>
                </pic:blipFill>
                <pic:spPr bwMode="auto">
                  <a:xfrm>
                    <a:off x="0" y="0"/>
                    <a:ext cx="1224280" cy="930275"/>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decimal"/>
      <w:lvlText w:val="%1)"/>
      <w:lvlJc w:val="left"/>
      <w:pPr>
        <w:tabs>
          <w:tab w:val="num" w:pos="0"/>
        </w:tabs>
        <w:ind w:left="360" w:hanging="360"/>
      </w:pPr>
      <w:rPr>
        <w:rFonts w:eastAsia="Noto Serif CJK SC" w:cs="Calibri"/>
        <w:color w:val="auto"/>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3">
    <w:lvl w:ilvl="0">
      <w:start w:val="1"/>
      <w:numFmt w:val="decimal"/>
      <w:lvlText w:val="%1)"/>
      <w:lvlJc w:val="left"/>
      <w:pPr>
        <w:tabs>
          <w:tab w:val="num" w:pos="0"/>
        </w:tabs>
        <w:ind w:left="720" w:hanging="360"/>
      </w:pPr>
      <w:rPr>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5">
    <w:lvl w:ilvl="0">
      <w:start w:val="1"/>
      <w:numFmt w:val="bullet"/>
      <w:lvlText w:val=""/>
      <w:lvlJc w:val="left"/>
      <w:pPr>
        <w:tabs>
          <w:tab w:val="num" w:pos="0"/>
        </w:tabs>
        <w:ind w:left="644" w:hanging="360"/>
      </w:pPr>
      <w:rPr>
        <w:rFonts w:ascii="Symbol" w:hAnsi="Symbol" w:cs="Symbol" w:hint="default"/>
      </w:rPr>
    </w:lvl>
    <w:lvl w:ilvl="1">
      <w:start w:val="1"/>
      <w:numFmt w:val="bullet"/>
      <w:lvlText w:val="o"/>
      <w:lvlJc w:val="left"/>
      <w:pPr>
        <w:tabs>
          <w:tab w:val="num" w:pos="0"/>
        </w:tabs>
        <w:ind w:left="1364" w:hanging="360"/>
      </w:pPr>
      <w:rPr>
        <w:rFonts w:ascii="Courier New" w:hAnsi="Courier New" w:cs="Courier New" w:hint="default"/>
      </w:rPr>
    </w:lvl>
    <w:lvl w:ilvl="2">
      <w:start w:val="1"/>
      <w:numFmt w:val="bullet"/>
      <w:lvlText w:val=""/>
      <w:lvlJc w:val="left"/>
      <w:pPr>
        <w:tabs>
          <w:tab w:val="num" w:pos="0"/>
        </w:tabs>
        <w:ind w:left="2084" w:hanging="360"/>
      </w:pPr>
      <w:rPr>
        <w:rFonts w:ascii="Wingdings" w:hAnsi="Wingdings" w:cs="Wingdings" w:hint="default"/>
      </w:rPr>
    </w:lvl>
    <w:lvl w:ilvl="3">
      <w:start w:val="1"/>
      <w:numFmt w:val="bullet"/>
      <w:lvlText w:val=""/>
      <w:lvlJc w:val="left"/>
      <w:pPr>
        <w:tabs>
          <w:tab w:val="num" w:pos="0"/>
        </w:tabs>
        <w:ind w:left="2804" w:hanging="360"/>
      </w:pPr>
      <w:rPr>
        <w:rFonts w:ascii="Symbol" w:hAnsi="Symbol" w:cs="Symbol" w:hint="default"/>
      </w:rPr>
    </w:lvl>
    <w:lvl w:ilvl="4">
      <w:start w:val="1"/>
      <w:numFmt w:val="bullet"/>
      <w:lvlText w:val="o"/>
      <w:lvlJc w:val="left"/>
      <w:pPr>
        <w:tabs>
          <w:tab w:val="num" w:pos="0"/>
        </w:tabs>
        <w:ind w:left="3524" w:hanging="360"/>
      </w:pPr>
      <w:rPr>
        <w:rFonts w:ascii="Courier New" w:hAnsi="Courier New" w:cs="Courier New" w:hint="default"/>
      </w:rPr>
    </w:lvl>
    <w:lvl w:ilvl="5">
      <w:start w:val="1"/>
      <w:numFmt w:val="bullet"/>
      <w:lvlText w:val=""/>
      <w:lvlJc w:val="left"/>
      <w:pPr>
        <w:tabs>
          <w:tab w:val="num" w:pos="0"/>
        </w:tabs>
        <w:ind w:left="4244" w:hanging="360"/>
      </w:pPr>
      <w:rPr>
        <w:rFonts w:ascii="Wingdings" w:hAnsi="Wingdings" w:cs="Wingdings" w:hint="default"/>
      </w:rPr>
    </w:lvl>
    <w:lvl w:ilvl="6">
      <w:start w:val="1"/>
      <w:numFmt w:val="bullet"/>
      <w:lvlText w:val=""/>
      <w:lvlJc w:val="left"/>
      <w:pPr>
        <w:tabs>
          <w:tab w:val="num" w:pos="0"/>
        </w:tabs>
        <w:ind w:left="4964" w:hanging="360"/>
      </w:pPr>
      <w:rPr>
        <w:rFonts w:ascii="Symbol" w:hAnsi="Symbol" w:cs="Symbol" w:hint="default"/>
      </w:rPr>
    </w:lvl>
    <w:lvl w:ilvl="7">
      <w:start w:val="1"/>
      <w:numFmt w:val="bullet"/>
      <w:lvlText w:val="o"/>
      <w:lvlJc w:val="left"/>
      <w:pPr>
        <w:tabs>
          <w:tab w:val="num" w:pos="0"/>
        </w:tabs>
        <w:ind w:left="5684" w:hanging="360"/>
      </w:pPr>
      <w:rPr>
        <w:rFonts w:ascii="Courier New" w:hAnsi="Courier New" w:cs="Courier New" w:hint="default"/>
      </w:rPr>
    </w:lvl>
    <w:lvl w:ilvl="8">
      <w:start w:val="1"/>
      <w:numFmt w:val="bullet"/>
      <w:lvlText w:val=""/>
      <w:lvlJc w:val="left"/>
      <w:pPr>
        <w:tabs>
          <w:tab w:val="num" w:pos="0"/>
        </w:tabs>
        <w:ind w:left="6404" w:hanging="360"/>
      </w:pPr>
      <w:rPr>
        <w:rFonts w:ascii="Wingdings" w:hAnsi="Wingdings" w:cs="Wingdings" w:hint="default"/>
      </w:rPr>
    </w:lvl>
  </w:abstractNum>
  <w:abstractNum w:abstractNumId="6">
    <w:lvl w:ilvl="0">
      <w:start w:val="1"/>
      <w:numFmt w:val="bullet"/>
      <w:lvlText w:val=""/>
      <w:lvlJc w:val="left"/>
      <w:pPr>
        <w:tabs>
          <w:tab w:val="num" w:pos="0"/>
        </w:tabs>
        <w:ind w:left="780" w:hanging="360"/>
      </w:pPr>
      <w:rPr>
        <w:rFonts w:ascii="Symbol" w:hAnsi="Symbol" w:cs="Symbol" w:hint="default"/>
      </w:rPr>
    </w:lvl>
    <w:lvl w:ilvl="1">
      <w:start w:val="1"/>
      <w:numFmt w:val="bullet"/>
      <w:lvlText w:val="o"/>
      <w:lvlJc w:val="left"/>
      <w:pPr>
        <w:tabs>
          <w:tab w:val="num" w:pos="0"/>
        </w:tabs>
        <w:ind w:left="1500" w:hanging="360"/>
      </w:pPr>
      <w:rPr>
        <w:rFonts w:ascii="Courier New" w:hAnsi="Courier New" w:cs="Courier New" w:hint="default"/>
      </w:rPr>
    </w:lvl>
    <w:lvl w:ilvl="2">
      <w:start w:val="1"/>
      <w:numFmt w:val="bullet"/>
      <w:lvlText w:val=""/>
      <w:lvlJc w:val="left"/>
      <w:pPr>
        <w:tabs>
          <w:tab w:val="num" w:pos="0"/>
        </w:tabs>
        <w:ind w:left="2220" w:hanging="360"/>
      </w:pPr>
      <w:rPr>
        <w:rFonts w:ascii="Wingdings" w:hAnsi="Wingdings" w:cs="Wingdings" w:hint="default"/>
      </w:rPr>
    </w:lvl>
    <w:lvl w:ilvl="3">
      <w:start w:val="1"/>
      <w:numFmt w:val="bullet"/>
      <w:lvlText w:val=""/>
      <w:lvlJc w:val="left"/>
      <w:pPr>
        <w:tabs>
          <w:tab w:val="num" w:pos="0"/>
        </w:tabs>
        <w:ind w:left="2940" w:hanging="360"/>
      </w:pPr>
      <w:rPr>
        <w:rFonts w:ascii="Symbol" w:hAnsi="Symbol" w:cs="Symbol" w:hint="default"/>
      </w:rPr>
    </w:lvl>
    <w:lvl w:ilvl="4">
      <w:start w:val="1"/>
      <w:numFmt w:val="bullet"/>
      <w:lvlText w:val="o"/>
      <w:lvlJc w:val="left"/>
      <w:pPr>
        <w:tabs>
          <w:tab w:val="num" w:pos="0"/>
        </w:tabs>
        <w:ind w:left="3660" w:hanging="360"/>
      </w:pPr>
      <w:rPr>
        <w:rFonts w:ascii="Courier New" w:hAnsi="Courier New" w:cs="Courier New" w:hint="default"/>
      </w:rPr>
    </w:lvl>
    <w:lvl w:ilvl="5">
      <w:start w:val="1"/>
      <w:numFmt w:val="bullet"/>
      <w:lvlText w:val=""/>
      <w:lvlJc w:val="left"/>
      <w:pPr>
        <w:tabs>
          <w:tab w:val="num" w:pos="0"/>
        </w:tabs>
        <w:ind w:left="4380" w:hanging="360"/>
      </w:pPr>
      <w:rPr>
        <w:rFonts w:ascii="Wingdings" w:hAnsi="Wingdings" w:cs="Wingdings" w:hint="default"/>
      </w:rPr>
    </w:lvl>
    <w:lvl w:ilvl="6">
      <w:start w:val="1"/>
      <w:numFmt w:val="bullet"/>
      <w:lvlText w:val=""/>
      <w:lvlJc w:val="left"/>
      <w:pPr>
        <w:tabs>
          <w:tab w:val="num" w:pos="0"/>
        </w:tabs>
        <w:ind w:left="5100" w:hanging="360"/>
      </w:pPr>
      <w:rPr>
        <w:rFonts w:ascii="Symbol" w:hAnsi="Symbol" w:cs="Symbol" w:hint="default"/>
      </w:rPr>
    </w:lvl>
    <w:lvl w:ilvl="7">
      <w:start w:val="1"/>
      <w:numFmt w:val="bullet"/>
      <w:lvlText w:val="o"/>
      <w:lvlJc w:val="left"/>
      <w:pPr>
        <w:tabs>
          <w:tab w:val="num" w:pos="0"/>
        </w:tabs>
        <w:ind w:left="5820" w:hanging="360"/>
      </w:pPr>
      <w:rPr>
        <w:rFonts w:ascii="Courier New" w:hAnsi="Courier New" w:cs="Courier New" w:hint="default"/>
      </w:rPr>
    </w:lvl>
    <w:lvl w:ilvl="8">
      <w:start w:val="1"/>
      <w:numFmt w:val="bullet"/>
      <w:lvlText w:val=""/>
      <w:lvlJc w:val="left"/>
      <w:pPr>
        <w:tabs>
          <w:tab w:val="num" w:pos="0"/>
        </w:tabs>
        <w:ind w:left="6540" w:hanging="360"/>
      </w:pPr>
      <w:rPr>
        <w:rFonts w:ascii="Wingdings" w:hAnsi="Wingdings" w:cs="Wingdings" w:hint="default"/>
      </w:rPr>
    </w:lvl>
  </w:abstractNum>
  <w:abstractNum w:abstractNumId="7">
    <w:lvl w:ilvl="0">
      <w:start w:val="1"/>
      <w:numFmt w:val="lowerRoman"/>
      <w:lvlText w:val="%1."/>
      <w:lvlJc w:val="right"/>
      <w:pPr>
        <w:tabs>
          <w:tab w:val="num" w:pos="0"/>
        </w:tabs>
        <w:ind w:left="1288" w:hanging="360"/>
      </w:pPr>
    </w:lvl>
    <w:lvl w:ilvl="1">
      <w:start w:val="1"/>
      <w:numFmt w:val="lowerLetter"/>
      <w:lvlText w:val="%2."/>
      <w:lvlJc w:val="left"/>
      <w:pPr>
        <w:tabs>
          <w:tab w:val="num" w:pos="0"/>
        </w:tabs>
        <w:ind w:left="2008" w:hanging="360"/>
      </w:pPr>
    </w:lvl>
    <w:lvl w:ilvl="2">
      <w:start w:val="1"/>
      <w:numFmt w:val="lowerRoman"/>
      <w:lvlText w:val="%3."/>
      <w:lvlJc w:val="right"/>
      <w:pPr>
        <w:tabs>
          <w:tab w:val="num" w:pos="0"/>
        </w:tabs>
        <w:ind w:left="2728" w:hanging="180"/>
      </w:pPr>
    </w:lvl>
    <w:lvl w:ilvl="3">
      <w:start w:val="1"/>
      <w:numFmt w:val="decimal"/>
      <w:lvlText w:val="%4."/>
      <w:lvlJc w:val="left"/>
      <w:pPr>
        <w:tabs>
          <w:tab w:val="num" w:pos="0"/>
        </w:tabs>
        <w:ind w:left="3448" w:hanging="360"/>
      </w:pPr>
    </w:lvl>
    <w:lvl w:ilvl="4">
      <w:start w:val="1"/>
      <w:numFmt w:val="lowerLetter"/>
      <w:lvlText w:val="%5."/>
      <w:lvlJc w:val="left"/>
      <w:pPr>
        <w:tabs>
          <w:tab w:val="num" w:pos="0"/>
        </w:tabs>
        <w:ind w:left="4168" w:hanging="360"/>
      </w:pPr>
    </w:lvl>
    <w:lvl w:ilvl="5">
      <w:start w:val="1"/>
      <w:numFmt w:val="lowerRoman"/>
      <w:lvlText w:val="%6."/>
      <w:lvlJc w:val="right"/>
      <w:pPr>
        <w:tabs>
          <w:tab w:val="num" w:pos="0"/>
        </w:tabs>
        <w:ind w:left="4888" w:hanging="180"/>
      </w:pPr>
    </w:lvl>
    <w:lvl w:ilvl="6">
      <w:start w:val="1"/>
      <w:numFmt w:val="decimal"/>
      <w:lvlText w:val="%7."/>
      <w:lvlJc w:val="left"/>
      <w:pPr>
        <w:tabs>
          <w:tab w:val="num" w:pos="0"/>
        </w:tabs>
        <w:ind w:left="5608" w:hanging="360"/>
      </w:pPr>
    </w:lvl>
    <w:lvl w:ilvl="7">
      <w:start w:val="1"/>
      <w:numFmt w:val="lowerLetter"/>
      <w:lvlText w:val="%8."/>
      <w:lvlJc w:val="left"/>
      <w:pPr>
        <w:tabs>
          <w:tab w:val="num" w:pos="0"/>
        </w:tabs>
        <w:ind w:left="6328" w:hanging="360"/>
      </w:pPr>
    </w:lvl>
    <w:lvl w:ilvl="8">
      <w:start w:val="1"/>
      <w:numFmt w:val="lowerRoman"/>
      <w:lvlText w:val="%9."/>
      <w:lvlJc w:val="right"/>
      <w:pPr>
        <w:tabs>
          <w:tab w:val="num" w:pos="0"/>
        </w:tabs>
        <w:ind w:left="7048" w:hanging="180"/>
      </w:pPr>
    </w:lvl>
  </w:abstractNum>
  <w:abstractNum w:abstractNumId="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w="http://schemas.openxmlformats.org/wordprocessingml/2006/main">
  <w:zoom w:percent="100"/>
  <w:displayBackgroundShape/>
  <w:embedSystemFonts/>
  <w:defaultTabStop w:val="709"/>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n-GB" w:eastAsia="en-US" w:bidi="ar-SA"/>
      </w:rPr>
    </w:rPrDefault>
    <w:pPrDefault>
      <w:pPr>
        <w:suppressAutoHyphens w:val="true"/>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suppressAutoHyphens w:val="true"/>
      <w:bidi w:val="0"/>
      <w:spacing w:before="0" w:after="0"/>
      <w:jc w:val="left"/>
    </w:pPr>
    <w:rPr>
      <w:rFonts w:ascii="Arial" w:hAnsi="Arial" w:eastAsia="Noto Serif CJK SC" w:cs="Lohit Devanagari"/>
      <w:color w:val="auto"/>
      <w:kern w:val="2"/>
      <w:sz w:val="24"/>
      <w:szCs w:val="24"/>
      <w:lang w:val="en-GB" w:eastAsia="zh-CN" w:bidi="hi-IN"/>
    </w:rPr>
  </w:style>
  <w:style w:type="paragraph" w:styleId="Heading1">
    <w:name w:val="Heading 1"/>
    <w:basedOn w:val="Heading"/>
    <w:next w:val="TextBody"/>
    <w:qFormat/>
    <w:pPr>
      <w:outlineLvl w:val="0"/>
    </w:pPr>
    <w:rPr>
      <w:b/>
      <w:bCs/>
      <w:sz w:val="36"/>
      <w:szCs w:val="36"/>
    </w:rPr>
  </w:style>
  <w:style w:type="paragraph" w:styleId="Heading2">
    <w:name w:val="Heading 2"/>
    <w:basedOn w:val="Heading"/>
    <w:next w:val="TextBody"/>
    <w:qFormat/>
    <w:pPr>
      <w:spacing w:before="200" w:after="120"/>
      <w:outlineLvl w:val="1"/>
    </w:pPr>
    <w:rPr>
      <w:b/>
      <w:bCs/>
      <w:sz w:val="32"/>
      <w:szCs w:val="32"/>
    </w:rPr>
  </w:style>
  <w:style w:type="paragraph" w:styleId="Heading3">
    <w:name w:val="Heading 3"/>
    <w:basedOn w:val="Heading"/>
    <w:next w:val="TextBody"/>
    <w:qFormat/>
    <w:pPr>
      <w:spacing w:before="140" w:after="120"/>
      <w:outlineLvl w:val="2"/>
    </w:pPr>
    <w:rPr>
      <w:b/>
      <w:bCs/>
    </w:rPr>
  </w:style>
  <w:style w:type="character" w:styleId="DefaultParagraphFont" w:default="1">
    <w:name w:val="Default Paragraph Font"/>
    <w:uiPriority w:val="1"/>
    <w:semiHidden/>
    <w:unhideWhenUsed/>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rFonts w:ascii="Calibri Light" w:hAnsi="Calibri Light" w:eastAsia="Times New Roman" w:cs="Calibri Light"/>
      <w:b/>
      <w:bCs/>
      <w:vanish w:val="false"/>
      <w:color w:val="000000"/>
      <w:sz w:val="24"/>
      <w:szCs w:val="24"/>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WW8Num3z0" w:customStyle="1">
    <w:name w:val="WW8Num3z0"/>
    <w:qFormat/>
    <w:rPr>
      <w:b/>
      <w:color w:val="000000"/>
    </w:rPr>
  </w:style>
  <w:style w:type="character" w:styleId="WW8Num4z0" w:customStyle="1">
    <w:name w:val="WW8Num4z0"/>
    <w:qFormat/>
    <w:rPr>
      <w:rFonts w:ascii="Calibri" w:hAnsi="Calibri" w:cs="Calibri"/>
      <w:b/>
      <w:sz w:val="24"/>
      <w:szCs w:val="24"/>
    </w:rPr>
  </w:style>
  <w:style w:type="character" w:styleId="WWDefaultParagraphFont" w:customStyle="1">
    <w:name w:val="WW-Default Paragraph Font"/>
    <w:qFormat/>
    <w:rPr/>
  </w:style>
  <w:style w:type="character" w:styleId="WWDefaultParagraphFont1" w:customStyle="1">
    <w:name w:val="WW-Default Paragraph Font1"/>
    <w:qFormat/>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DefaultParagraphFont1" w:customStyle="1">
    <w:name w:val="Default Paragraph Font1"/>
    <w:qFormat/>
    <w:rPr/>
  </w:style>
  <w:style w:type="character" w:styleId="InternetLink">
    <w:name w:val="Hyperlink"/>
    <w:rPr>
      <w:color w:val="0563C1"/>
      <w:u w:val="single"/>
    </w:rPr>
  </w:style>
  <w:style w:type="character" w:styleId="VisitedInternetLink">
    <w:name w:val="FollowedHyperlink"/>
    <w:rPr>
      <w:color w:val="954F72"/>
      <w:u w:val="single"/>
    </w:rPr>
  </w:style>
  <w:style w:type="character" w:styleId="WW8Num9z0" w:customStyle="1">
    <w:name w:val="WW8Num9z0"/>
    <w:qFormat/>
    <w:rPr>
      <w:rFonts w:ascii="Calibri" w:hAnsi="Calibri" w:eastAsia="Times New Roman" w:cs="Calibri"/>
      <w:color w:val="4F81BD"/>
    </w:rPr>
  </w:style>
  <w:style w:type="character" w:styleId="WW8Num6z0" w:customStyle="1">
    <w:name w:val="WW8Num6z0"/>
    <w:qFormat/>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style>
  <w:style w:type="character" w:styleId="WW8Num7z1" w:customStyle="1">
    <w:name w:val="WW8Num7z1"/>
    <w:qFormat/>
    <w:rPr/>
  </w:style>
  <w:style w:type="character" w:styleId="WW8Num7z2" w:customStyle="1">
    <w:name w:val="WW8Num7z2"/>
    <w:qFormat/>
    <w:rPr/>
  </w:style>
  <w:style w:type="character" w:styleId="WW8Num7z3" w:customStyle="1">
    <w:name w:val="WW8Num7z3"/>
    <w:qFormat/>
    <w:rPr/>
  </w:style>
  <w:style w:type="character" w:styleId="WW8Num7z4" w:customStyle="1">
    <w:name w:val="WW8Num7z4"/>
    <w:qFormat/>
    <w:rPr/>
  </w:style>
  <w:style w:type="character" w:styleId="WW8Num7z5" w:customStyle="1">
    <w:name w:val="WW8Num7z5"/>
    <w:qFormat/>
    <w:rPr/>
  </w:style>
  <w:style w:type="character" w:styleId="WW8Num7z6" w:customStyle="1">
    <w:name w:val="WW8Num7z6"/>
    <w:qFormat/>
    <w:rPr/>
  </w:style>
  <w:style w:type="character" w:styleId="WW8Num7z7" w:customStyle="1">
    <w:name w:val="WW8Num7z7"/>
    <w:qFormat/>
    <w:rPr/>
  </w:style>
  <w:style w:type="character" w:styleId="WW8Num7z8" w:customStyle="1">
    <w:name w:val="WW8Num7z8"/>
    <w:qFormat/>
    <w:rPr/>
  </w:style>
  <w:style w:type="character" w:styleId="BalloonTextChar" w:customStyle="1">
    <w:name w:val="Balloon Text Char"/>
    <w:qFormat/>
    <w:rPr>
      <w:rFonts w:ascii="Segoe UI" w:hAnsi="Segoe UI" w:eastAsia="Noto Serif CJK SC" w:cs="Mangal"/>
      <w:kern w:val="2"/>
      <w:sz w:val="18"/>
      <w:szCs w:val="16"/>
      <w:lang w:eastAsia="zh-CN" w:bidi="hi-IN"/>
    </w:rPr>
  </w:style>
  <w:style w:type="character" w:styleId="CommentReference1" w:customStyle="1">
    <w:name w:val="Comment Reference1"/>
    <w:qFormat/>
    <w:rPr>
      <w:sz w:val="16"/>
      <w:szCs w:val="16"/>
    </w:rPr>
  </w:style>
  <w:style w:type="character" w:styleId="CommentTextChar" w:customStyle="1">
    <w:name w:val="Comment Text Char"/>
    <w:qFormat/>
    <w:rPr>
      <w:rFonts w:ascii="Arial" w:hAnsi="Arial" w:eastAsia="Noto Serif CJK SC" w:cs="Mangal"/>
      <w:kern w:val="2"/>
      <w:szCs w:val="18"/>
      <w:lang w:eastAsia="zh-CN" w:bidi="hi-IN"/>
    </w:rPr>
  </w:style>
  <w:style w:type="character" w:styleId="CommentSubjectChar" w:customStyle="1">
    <w:name w:val="Comment Subject Char"/>
    <w:qFormat/>
    <w:rPr>
      <w:rFonts w:ascii="Arial" w:hAnsi="Arial" w:eastAsia="Noto Serif CJK SC" w:cs="Mangal"/>
      <w:b/>
      <w:bCs/>
      <w:kern w:val="2"/>
      <w:szCs w:val="18"/>
      <w:lang w:eastAsia="zh-CN" w:bidi="hi-IN"/>
    </w:rPr>
  </w:style>
  <w:style w:type="character" w:styleId="FooterChar" w:customStyle="1">
    <w:name w:val="Footer Char"/>
    <w:qFormat/>
    <w:rPr>
      <w:rFonts w:ascii="Arial" w:hAnsi="Arial" w:eastAsia="Noto Serif CJK SC" w:cs="Mangal"/>
      <w:kern w:val="2"/>
      <w:sz w:val="24"/>
      <w:szCs w:val="21"/>
      <w:lang w:eastAsia="zh-CN" w:bidi="hi-IN"/>
    </w:rPr>
  </w:style>
  <w:style w:type="character" w:styleId="UnresolvedMention1" w:customStyle="1">
    <w:name w:val="Unresolved Mention1"/>
    <w:uiPriority w:val="99"/>
    <w:semiHidden/>
    <w:unhideWhenUsed/>
    <w:qFormat/>
    <w:rsid w:val="00ec4e11"/>
    <w:rPr>
      <w:color w:val="605E5C"/>
      <w:shd w:fill="E1DFDD" w:val="clear"/>
    </w:rPr>
  </w:style>
  <w:style w:type="character" w:styleId="Pagenumber">
    <w:name w:val="page number"/>
    <w:basedOn w:val="DefaultParagraphFont"/>
    <w:uiPriority w:val="99"/>
    <w:semiHidden/>
    <w:unhideWhenUsed/>
    <w:qFormat/>
    <w:rsid w:val="003b152a"/>
    <w:rPr/>
  </w:style>
  <w:style w:type="character" w:styleId="CommentTextChar1" w:customStyle="1">
    <w:name w:val="Comment Text Char1"/>
    <w:basedOn w:val="DefaultParagraphFont"/>
    <w:link w:val="CommentText"/>
    <w:uiPriority w:val="99"/>
    <w:semiHidden/>
    <w:qFormat/>
    <w:rPr>
      <w:rFonts w:ascii="Arial" w:hAnsi="Arial" w:eastAsia="Noto Serif CJK SC" w:cs="Mangal"/>
      <w:kern w:val="2"/>
      <w:szCs w:val="18"/>
      <w:lang w:eastAsia="zh-CN" w:bidi="hi-IN"/>
    </w:rPr>
  </w:style>
  <w:style w:type="character" w:styleId="Annotationreference">
    <w:name w:val="annotation reference"/>
    <w:basedOn w:val="DefaultParagraphFont"/>
    <w:uiPriority w:val="99"/>
    <w:semiHidden/>
    <w:unhideWhenUsed/>
    <w:qFormat/>
    <w:rPr>
      <w:sz w:val="16"/>
      <w:szCs w:val="16"/>
    </w:rPr>
  </w:style>
  <w:style w:type="paragraph" w:styleId="Heading" w:customStyle="1">
    <w:name w:val="Heading"/>
    <w:basedOn w:val="Normal"/>
    <w:next w:val="TextBody"/>
    <w:qFormat/>
    <w:pPr>
      <w:keepNext w:val="true"/>
      <w:spacing w:before="240" w:after="120"/>
    </w:pPr>
    <w:rPr>
      <w:rFonts w:eastAsia="Noto Sans CJK SC"/>
      <w:sz w:val="28"/>
      <w:szCs w:val="28"/>
    </w:rPr>
  </w:style>
  <w:style w:type="paragraph" w:styleId="TextBody">
    <w:name w:val="Body Text"/>
    <w:basedOn w:val="Normal"/>
    <w:pPr>
      <w:spacing w:lineRule="auto" w:line="276" w:before="0" w:after="140"/>
    </w:pPr>
    <w:rPr/>
  </w:style>
  <w:style w:type="paragraph" w:styleId="List">
    <w:name w:val="List"/>
    <w:basedOn w:val="TextBody"/>
    <w:pPr/>
    <w:rPr/>
  </w:style>
  <w:style w:type="paragraph" w:styleId="Caption">
    <w:name w:val="Caption"/>
    <w:basedOn w:val="Normal"/>
    <w:qFormat/>
    <w:pPr>
      <w:suppressLineNumbers/>
      <w:spacing w:before="120" w:after="120"/>
    </w:pPr>
    <w:rPr>
      <w:rFonts w:ascii="Arial" w:hAnsi="Arial" w:cs="Lohit Devanagari"/>
      <w:i/>
      <w:iCs/>
      <w:sz w:val="24"/>
      <w:szCs w:val="24"/>
    </w:rPr>
  </w:style>
  <w:style w:type="paragraph" w:styleId="Index" w:customStyle="1">
    <w:name w:val="Index"/>
    <w:basedOn w:val="Normal"/>
    <w:qFormat/>
    <w:pPr>
      <w:suppressLineNumbers/>
    </w:pPr>
    <w:rPr/>
  </w:style>
  <w:style w:type="paragraph" w:styleId="Caption1">
    <w:name w:val="caption"/>
    <w:basedOn w:val="Normal"/>
    <w:qFormat/>
    <w:pPr>
      <w:suppressLineNumbers/>
      <w:spacing w:before="120" w:after="120"/>
    </w:pPr>
    <w:rPr>
      <w:i/>
      <w:iCs/>
    </w:rPr>
  </w:style>
  <w:style w:type="paragraph" w:styleId="TableContents" w:customStyle="1">
    <w:name w:val="Table Contents"/>
    <w:basedOn w:val="Normal"/>
    <w:qFormat/>
    <w:pPr>
      <w:suppressLineNumbers/>
    </w:pPr>
    <w:rPr/>
  </w:style>
  <w:style w:type="paragraph" w:styleId="ListParagraph">
    <w:name w:val="List Paragraph"/>
    <w:basedOn w:val="Normal"/>
    <w:qFormat/>
    <w:pPr>
      <w:spacing w:before="0" w:after="0"/>
      <w:ind w:left="720" w:hanging="0"/>
      <w:contextualSpacing/>
    </w:pPr>
    <w:rPr/>
  </w:style>
  <w:style w:type="paragraph" w:styleId="NormalWeb">
    <w:name w:val="Normal (Web)"/>
    <w:basedOn w:val="Normal"/>
    <w:uiPriority w:val="99"/>
    <w:qFormat/>
    <w:pPr>
      <w:suppressAutoHyphens w:val="false"/>
      <w:spacing w:before="280" w:after="280"/>
    </w:pPr>
    <w:rPr>
      <w:rFonts w:ascii="Times New Roman" w:hAnsi="Times New Roman" w:eastAsia="Times New Roman" w:cs="Times New Roman"/>
    </w:rPr>
  </w:style>
  <w:style w:type="paragraph" w:styleId="HeaderandFooter" w:customStyle="1">
    <w:name w:val="Header and Footer"/>
    <w:basedOn w:val="Normal"/>
    <w:qFormat/>
    <w:pPr>
      <w:suppressLineNumbers/>
      <w:tabs>
        <w:tab w:val="clear" w:pos="709"/>
        <w:tab w:val="center" w:pos="4819" w:leader="none"/>
        <w:tab w:val="right" w:pos="9638" w:leader="none"/>
      </w:tabs>
    </w:pPr>
    <w:rPr/>
  </w:style>
  <w:style w:type="paragraph" w:styleId="Header">
    <w:name w:val="Header"/>
    <w:basedOn w:val="HeaderandFooter"/>
    <w:pPr/>
    <w:rPr/>
  </w:style>
  <w:style w:type="paragraph" w:styleId="TableHeading" w:customStyle="1">
    <w:name w:val="Table Heading"/>
    <w:basedOn w:val="TableContents"/>
    <w:qFormat/>
    <w:pPr>
      <w:jc w:val="center"/>
    </w:pPr>
    <w:rPr>
      <w:b/>
      <w:bCs/>
    </w:rPr>
  </w:style>
  <w:style w:type="paragraph" w:styleId="BalloonText">
    <w:name w:val="Balloon Text"/>
    <w:basedOn w:val="Normal"/>
    <w:qFormat/>
    <w:pPr/>
    <w:rPr>
      <w:rFonts w:ascii="Segoe UI" w:hAnsi="Segoe UI" w:cs="Mangal"/>
      <w:sz w:val="18"/>
      <w:szCs w:val="16"/>
    </w:rPr>
  </w:style>
  <w:style w:type="paragraph" w:styleId="CommentText1" w:customStyle="1">
    <w:name w:val="Comment Text1"/>
    <w:basedOn w:val="Normal"/>
    <w:qFormat/>
    <w:pPr/>
    <w:rPr>
      <w:rFonts w:cs="Mangal"/>
      <w:sz w:val="20"/>
      <w:szCs w:val="18"/>
    </w:rPr>
  </w:style>
  <w:style w:type="paragraph" w:styleId="Annotationsubject">
    <w:name w:val="annotation subject"/>
    <w:basedOn w:val="CommentText1"/>
    <w:next w:val="CommentText1"/>
    <w:qFormat/>
    <w:pPr/>
    <w:rPr>
      <w:b/>
      <w:bCs/>
    </w:rPr>
  </w:style>
  <w:style w:type="paragraph" w:styleId="Footer">
    <w:name w:val="Footer"/>
    <w:basedOn w:val="Normal"/>
    <w:pPr>
      <w:tabs>
        <w:tab w:val="clear" w:pos="709"/>
        <w:tab w:val="center" w:pos="4513" w:leader="none"/>
        <w:tab w:val="right" w:pos="9026" w:leader="none"/>
      </w:tabs>
    </w:pPr>
    <w:rPr>
      <w:rFonts w:cs="Mangal"/>
      <w:szCs w:val="21"/>
    </w:rPr>
  </w:style>
  <w:style w:type="paragraph" w:styleId="FrameContents" w:customStyle="1">
    <w:name w:val="Frame Contents"/>
    <w:basedOn w:val="Normal"/>
    <w:qFormat/>
    <w:pPr/>
    <w:rPr/>
  </w:style>
  <w:style w:type="paragraph" w:styleId="Annotationtext">
    <w:name w:val="annotation text"/>
    <w:basedOn w:val="Normal"/>
    <w:link w:val="CommentTextChar1"/>
    <w:uiPriority w:val="99"/>
    <w:semiHidden/>
    <w:unhideWhenUsed/>
    <w:qFormat/>
    <w:pPr/>
    <w:rPr>
      <w:rFonts w:cs="Mangal"/>
      <w:sz w:val="20"/>
      <w:szCs w:val="18"/>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styleId="TableGrid">
    <w:name w:val="Table Grid"/>
    <w:basedOn w:val="TableNormal"/>
    <w:uiPriority w:val="59"/>
    <w:rsid w:val="001c4404"/>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atsinda@ur.ac.rw" TargetMode="External"/><Relationship Id="rId3" Type="http://schemas.openxmlformats.org/officeDocument/2006/relationships/hyperlink" Target="mailto:gpnp@uonbi.ac.ke" TargetMode="External"/><Relationship Id="rId4" Type="http://schemas.openxmlformats.org/officeDocument/2006/relationships/hyperlink" Target="https://www.flickr.com/photos/rema-rwanda/28799153618/" TargetMode="External"/><Relationship Id="rId5" Type="http://schemas.openxmlformats.org/officeDocument/2006/relationships/hyperlink" Target="https://rema.gov.rw/index.php?id=77&amp;L=0&amp;tx_news_pi1%5Bnews%5D=6&amp;tx_news_pi1%5Bday%5D=5&amp;tx_news_pi1%5Bmonth%5D=6&amp;tx_news_pi1%5Byear%5D=2018&amp;cHash=80174194e9940a0a64bb807394902b30" TargetMode="External"/><Relationship Id="rId6" Type="http://schemas.openxmlformats.org/officeDocument/2006/relationships/hyperlink" Target="https://www.rema.gov.rw/index.php?id=77&amp;tx_news_pi1%5Bnews%5D=86&amp;tx_news_pi1%5Bday%5D=10&amp;tx_news_pi1%5Bmonth%5D=9&amp;tx_news_pi1%5Byear%5D=2020&amp;cHash=319b07b2c942d44e4a07bd8d19db9399" TargetMode="External"/><Relationship Id="rId7" Type="http://schemas.openxmlformats.org/officeDocument/2006/relationships/hyperlink" Target="https://rema.gov.rw/index.php?id=77&amp;L=0&amp;tx_news_pi1%5Bnews%5D=90&amp;tx_news_pi1%5Bday%5D=15&amp;tx_news_pi1%5Bmonth%5D=10&amp;tx_news_pi1%5Byear%5D=2020&amp;cHash=e9b19c04d76315c091c4b0859249ce3a" TargetMode="Externa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numbering" Target="numbering.xml"/><Relationship Id="rId11" Type="http://schemas.openxmlformats.org/officeDocument/2006/relationships/fontTable" Target="fontTable.xml"/><Relationship Id="rId12" Type="http://schemas.openxmlformats.org/officeDocument/2006/relationships/settings" Target="settings.xml"/><Relationship Id="rId13"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jpeg"/><Relationship Id="rId3" Type="http://schemas.openxmlformats.org/officeDocument/2006/relationships/image" Target="media/image3.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Application>LibreOffice/6.4.6.2$Linux_X86_64 LibreOffice_project/40$Build-2</Application>
  <Pages>5</Pages>
  <Words>1155</Words>
  <Characters>7922</Characters>
  <CharactersWithSpaces>9000</CharactersWithSpaces>
  <Paragraphs>65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2021-09-23T10:13:00Z</dcterms:created>
  <dc:creator>O'Meara, Noreen Dr (School of Law)</dc:creator>
  <dc:description/>
  <dc:language>en-GB</dc:language>
  <cp:lastModifiedBy/>
  <cp:lastPrinted>1995-11-21T16:41:00Z</cp:lastPrinted>
  <dcterms:modified xsi:type="dcterms:W3CDTF">2021-10-04T10:29:48Z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