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4950" w14:textId="1332D4AF" w:rsidR="002A0E49" w:rsidRPr="003F7803" w:rsidRDefault="009A00F3" w:rsidP="004856C9">
      <w:pPr>
        <w:jc w:val="center"/>
        <w:rPr>
          <w:rFonts w:ascii="Times New Roman" w:hAnsi="Times New Roman" w:cs="Times New Roman"/>
          <w:b/>
          <w:bCs/>
          <w:sz w:val="24"/>
          <w:szCs w:val="24"/>
          <w:u w:val="single"/>
        </w:rPr>
      </w:pPr>
      <w:r w:rsidRPr="003F7803">
        <w:rPr>
          <w:rFonts w:ascii="Times New Roman" w:hAnsi="Times New Roman" w:cs="Times New Roman"/>
          <w:b/>
          <w:bCs/>
          <w:sz w:val="24"/>
          <w:szCs w:val="24"/>
          <w:u w:val="single"/>
        </w:rPr>
        <w:t>Decarbonising the Law Conference</w:t>
      </w:r>
      <w:r w:rsidR="007D4B65">
        <w:rPr>
          <w:rStyle w:val="FootnoteReference"/>
          <w:rFonts w:ascii="Times New Roman" w:hAnsi="Times New Roman" w:cs="Times New Roman"/>
          <w:b/>
          <w:bCs/>
          <w:sz w:val="24"/>
          <w:szCs w:val="24"/>
          <w:u w:val="single"/>
        </w:rPr>
        <w:footnoteReference w:id="2"/>
      </w:r>
    </w:p>
    <w:p w14:paraId="7843AA56" w14:textId="1D29F45F" w:rsidR="0036246E" w:rsidRPr="003F7803" w:rsidRDefault="001016DD" w:rsidP="004856C9">
      <w:pPr>
        <w:jc w:val="both"/>
        <w:rPr>
          <w:rFonts w:ascii="Times New Roman" w:hAnsi="Times New Roman" w:cs="Times New Roman"/>
          <w:sz w:val="24"/>
          <w:szCs w:val="24"/>
        </w:rPr>
      </w:pPr>
      <w:r>
        <w:rPr>
          <w:rFonts w:ascii="Times New Roman" w:hAnsi="Times New Roman" w:cs="Times New Roman"/>
          <w:sz w:val="24"/>
          <w:szCs w:val="24"/>
        </w:rPr>
        <w:t>[</w:t>
      </w:r>
      <w:r w:rsidR="0036246E" w:rsidRPr="003F7803">
        <w:rPr>
          <w:rFonts w:ascii="Times New Roman" w:hAnsi="Times New Roman" w:cs="Times New Roman"/>
          <w:sz w:val="24"/>
          <w:szCs w:val="24"/>
        </w:rPr>
        <w:t xml:space="preserve">In October and November, the 2021 UN Climate Change Conference of the Parties (COP26) was held at Glasgow. A number of ‘outcomes’ were produced under the ‘Glasgow Climate Pact’ </w:t>
      </w:r>
      <w:r w:rsidR="00D32F57">
        <w:rPr>
          <w:rFonts w:ascii="Times New Roman" w:hAnsi="Times New Roman" w:cs="Times New Roman"/>
          <w:sz w:val="24"/>
          <w:szCs w:val="24"/>
        </w:rPr>
        <w:t>by consensus</w:t>
      </w:r>
      <w:r w:rsidR="0036246E" w:rsidRPr="003F7803">
        <w:rPr>
          <w:rFonts w:ascii="Times New Roman" w:hAnsi="Times New Roman" w:cs="Times New Roman"/>
          <w:sz w:val="24"/>
          <w:szCs w:val="24"/>
        </w:rPr>
        <w:t xml:space="preserve">, which was said to have ‘completed the Paris Agreement’. The strategy is one of </w:t>
      </w:r>
      <w:r w:rsidR="00D32F57">
        <w:rPr>
          <w:rFonts w:ascii="Times New Roman" w:hAnsi="Times New Roman" w:cs="Times New Roman"/>
          <w:sz w:val="24"/>
          <w:szCs w:val="24"/>
        </w:rPr>
        <w:t>‘</w:t>
      </w:r>
      <w:r w:rsidR="0036246E" w:rsidRPr="003F7803">
        <w:rPr>
          <w:rFonts w:ascii="Times New Roman" w:hAnsi="Times New Roman" w:cs="Times New Roman"/>
          <w:sz w:val="24"/>
          <w:szCs w:val="24"/>
        </w:rPr>
        <w:t xml:space="preserve">mitigation, adaptation, finance and collaboration’ with the aim of securing universal ‘net zero commitments’ against 2030 emission targets to limit planetary global temperature rise to 1.5 degrees centigrade compared with pre-industrial levels. The UK Presidency stated that the Glasgow pledges, if fully implemented, would keep global warming below 2 degrees and that the goal of 1.5 degrees remains possible with further action over the next decade. </w:t>
      </w:r>
    </w:p>
    <w:p w14:paraId="65A72447" w14:textId="62469A3D" w:rsidR="009F3CB1" w:rsidRPr="003F7803" w:rsidRDefault="000711BB" w:rsidP="004856C9">
      <w:pPr>
        <w:jc w:val="both"/>
        <w:rPr>
          <w:rFonts w:ascii="Times New Roman" w:hAnsi="Times New Roman" w:cs="Times New Roman"/>
          <w:sz w:val="24"/>
          <w:szCs w:val="24"/>
        </w:rPr>
      </w:pPr>
      <w:r>
        <w:rPr>
          <w:rFonts w:ascii="Times New Roman" w:hAnsi="Times New Roman" w:cs="Times New Roman"/>
          <w:sz w:val="24"/>
          <w:szCs w:val="24"/>
        </w:rPr>
        <w:t>In March</w:t>
      </w:r>
      <w:r w:rsidR="006E0128" w:rsidRPr="003F7803">
        <w:rPr>
          <w:rFonts w:ascii="Times New Roman" w:hAnsi="Times New Roman" w:cs="Times New Roman"/>
          <w:sz w:val="24"/>
          <w:szCs w:val="24"/>
        </w:rPr>
        <w:t xml:space="preserve">, the second Working Group reported on the effects of global warming on the living beings of the Earth. These include increases in drought and flooding over the past decade with 40% of the human population being ‘highly vulnerable’.  </w:t>
      </w:r>
      <w:r w:rsidR="009F3CB1" w:rsidRPr="003F7803">
        <w:rPr>
          <w:rFonts w:ascii="Times New Roman" w:hAnsi="Times New Roman" w:cs="Times New Roman"/>
          <w:sz w:val="24"/>
          <w:szCs w:val="24"/>
        </w:rPr>
        <w:t xml:space="preserve">On 4 April, the third Working Group reported that emissions must peak by 2025 and rapidly decline thereafter to remain within 1.5 degrees. They outlined a strategy to do so, which involve </w:t>
      </w:r>
      <w:r w:rsidR="009F3CB1" w:rsidRPr="004C2A46">
        <w:rPr>
          <w:rFonts w:ascii="Times New Roman" w:hAnsi="Times New Roman" w:cs="Times New Roman"/>
          <w:sz w:val="24"/>
          <w:szCs w:val="24"/>
        </w:rPr>
        <w:t>major lifestyle changes to diet, consumption and energy generation to reduce demand.</w:t>
      </w:r>
      <w:r w:rsidR="001016DD">
        <w:rPr>
          <w:rFonts w:ascii="Times New Roman" w:hAnsi="Times New Roman" w:cs="Times New Roman"/>
          <w:sz w:val="24"/>
          <w:szCs w:val="24"/>
        </w:rPr>
        <w:t>]</w:t>
      </w:r>
      <w:r w:rsidR="009F3CB1" w:rsidRPr="004C2A46">
        <w:rPr>
          <w:rFonts w:ascii="Times New Roman" w:hAnsi="Times New Roman" w:cs="Times New Roman"/>
          <w:sz w:val="24"/>
          <w:szCs w:val="24"/>
        </w:rPr>
        <w:t xml:space="preserve"> </w:t>
      </w:r>
    </w:p>
    <w:p w14:paraId="1771C1F8" w14:textId="60BD893C" w:rsidR="00BD3D4D" w:rsidRPr="003F7803" w:rsidRDefault="00BD3D4D" w:rsidP="004856C9">
      <w:pPr>
        <w:jc w:val="both"/>
        <w:rPr>
          <w:rFonts w:ascii="Times New Roman" w:hAnsi="Times New Roman" w:cs="Times New Roman"/>
          <w:sz w:val="24"/>
          <w:szCs w:val="24"/>
        </w:rPr>
      </w:pPr>
      <w:r w:rsidRPr="003F7803">
        <w:rPr>
          <w:rFonts w:ascii="Times New Roman" w:hAnsi="Times New Roman" w:cs="Times New Roman"/>
          <w:sz w:val="24"/>
          <w:szCs w:val="24"/>
        </w:rPr>
        <w:t>In the context of the United Kingdom target to reduce greenhouse gas emissions by 78% against 1990 levels, Universities UK pledged in October to set targets in support of the Government plan, to clearly define how reporting of the targets would be done and to set out information on university websites about meeting the targets alongside information on how the universities are addressing the climate emergency through teaching, research, leadership, local contributions and campus responsibilities.</w:t>
      </w:r>
    </w:p>
    <w:p w14:paraId="59EE3CD4" w14:textId="04C34A7A" w:rsidR="00C273B9" w:rsidRDefault="000711BB" w:rsidP="004856C9">
      <w:pPr>
        <w:jc w:val="both"/>
        <w:rPr>
          <w:rFonts w:ascii="Times New Roman" w:hAnsi="Times New Roman" w:cs="Times New Roman"/>
          <w:sz w:val="24"/>
          <w:szCs w:val="24"/>
        </w:rPr>
      </w:pPr>
      <w:r>
        <w:rPr>
          <w:rFonts w:ascii="Times New Roman" w:hAnsi="Times New Roman" w:cs="Times New Roman"/>
          <w:sz w:val="24"/>
          <w:szCs w:val="24"/>
        </w:rPr>
        <w:t>The 2022 International Law Association British Branch Annual Spring Conference was hosted at the University of Surrey on</w:t>
      </w:r>
      <w:r w:rsidR="00634BDB">
        <w:rPr>
          <w:rFonts w:ascii="Times New Roman" w:hAnsi="Times New Roman" w:cs="Times New Roman"/>
          <w:sz w:val="24"/>
          <w:szCs w:val="24"/>
        </w:rPr>
        <w:t xml:space="preserve"> 26 and 27 April on the theme, </w:t>
      </w:r>
      <w:hyperlink r:id="rId8" w:history="1">
        <w:r w:rsidR="00634BDB" w:rsidRPr="004856C9">
          <w:rPr>
            <w:rStyle w:val="Hyperlink"/>
            <w:rFonts w:ascii="Times New Roman" w:hAnsi="Times New Roman" w:cs="Times New Roman"/>
            <w:sz w:val="24"/>
            <w:szCs w:val="24"/>
          </w:rPr>
          <w:t>‘International Law and Climate Change’</w:t>
        </w:r>
      </w:hyperlink>
      <w:r w:rsidR="00634BDB">
        <w:rPr>
          <w:rFonts w:ascii="Times New Roman" w:hAnsi="Times New Roman" w:cs="Times New Roman"/>
          <w:sz w:val="24"/>
          <w:szCs w:val="24"/>
        </w:rPr>
        <w:t xml:space="preserve">. </w:t>
      </w:r>
      <w:r w:rsidR="00C211FE">
        <w:rPr>
          <w:rFonts w:ascii="Times New Roman" w:hAnsi="Times New Roman" w:cs="Times New Roman"/>
          <w:sz w:val="24"/>
          <w:szCs w:val="24"/>
        </w:rPr>
        <w:t>Connected to</w:t>
      </w:r>
      <w:r w:rsidR="004856C9">
        <w:rPr>
          <w:rFonts w:ascii="Times New Roman" w:hAnsi="Times New Roman" w:cs="Times New Roman"/>
          <w:sz w:val="24"/>
          <w:szCs w:val="24"/>
        </w:rPr>
        <w:t xml:space="preserve"> the core University research theme of ‘Sustainability’, the Conference was conceived not only to discuss the great legal issues connected to the pressing problem of climate change but also to explore new paths in the organisation of the law conference to reduce the </w:t>
      </w:r>
      <w:r w:rsidR="007D4B65">
        <w:rPr>
          <w:rFonts w:ascii="Times New Roman" w:hAnsi="Times New Roman" w:cs="Times New Roman"/>
          <w:sz w:val="24"/>
          <w:szCs w:val="24"/>
        </w:rPr>
        <w:t>emission</w:t>
      </w:r>
      <w:r w:rsidR="004856C9">
        <w:rPr>
          <w:rFonts w:ascii="Times New Roman" w:hAnsi="Times New Roman" w:cs="Times New Roman"/>
          <w:sz w:val="24"/>
          <w:szCs w:val="24"/>
        </w:rPr>
        <w:t xml:space="preserve"> footprint of the law school. </w:t>
      </w:r>
      <w:r w:rsidR="002B5E44">
        <w:rPr>
          <w:rFonts w:ascii="Times New Roman" w:hAnsi="Times New Roman" w:cs="Times New Roman"/>
          <w:sz w:val="24"/>
          <w:szCs w:val="24"/>
        </w:rPr>
        <w:t>Panels on rising sea levels, foreign investment law, human rights</w:t>
      </w:r>
      <w:r w:rsidR="00C952A4">
        <w:rPr>
          <w:rFonts w:ascii="Times New Roman" w:hAnsi="Times New Roman" w:cs="Times New Roman"/>
          <w:sz w:val="24"/>
          <w:szCs w:val="24"/>
        </w:rPr>
        <w:t xml:space="preserve"> and litigation engaged with the most recent developments o</w:t>
      </w:r>
      <w:r w:rsidR="00E4190E">
        <w:rPr>
          <w:rFonts w:ascii="Times New Roman" w:hAnsi="Times New Roman" w:cs="Times New Roman"/>
          <w:sz w:val="24"/>
          <w:szCs w:val="24"/>
        </w:rPr>
        <w:t>n the climate emergency, as did a round-table on trade law, the law of the sea and the UNFCC process.</w:t>
      </w:r>
    </w:p>
    <w:p w14:paraId="3BB2ADA3" w14:textId="472E34C9" w:rsidR="00B92F18" w:rsidRDefault="004856C9" w:rsidP="004856C9">
      <w:pPr>
        <w:jc w:val="both"/>
        <w:rPr>
          <w:rFonts w:ascii="Times New Roman" w:hAnsi="Times New Roman" w:cs="Times New Roman"/>
          <w:sz w:val="24"/>
          <w:szCs w:val="24"/>
        </w:rPr>
      </w:pPr>
      <w:r>
        <w:rPr>
          <w:rFonts w:ascii="Times New Roman" w:hAnsi="Times New Roman" w:cs="Times New Roman"/>
          <w:sz w:val="24"/>
          <w:szCs w:val="24"/>
        </w:rPr>
        <w:t xml:space="preserve">The Society of Legal Scholars awarded me £5,000 to </w:t>
      </w:r>
      <w:r w:rsidR="00C211FE">
        <w:rPr>
          <w:rFonts w:ascii="Times New Roman" w:hAnsi="Times New Roman" w:cs="Times New Roman"/>
          <w:sz w:val="24"/>
          <w:szCs w:val="24"/>
        </w:rPr>
        <w:t>engage</w:t>
      </w:r>
      <w:r>
        <w:rPr>
          <w:rFonts w:ascii="Times New Roman" w:hAnsi="Times New Roman" w:cs="Times New Roman"/>
          <w:sz w:val="24"/>
          <w:szCs w:val="24"/>
        </w:rPr>
        <w:t xml:space="preserve"> a post-doctoral research assistant, Dr Maria Lou</w:t>
      </w:r>
      <w:r w:rsidR="00C273B9">
        <w:rPr>
          <w:rFonts w:ascii="Times New Roman" w:hAnsi="Times New Roman" w:cs="Times New Roman"/>
          <w:sz w:val="24"/>
          <w:szCs w:val="24"/>
        </w:rPr>
        <w:t>c</w:t>
      </w:r>
      <w:r>
        <w:rPr>
          <w:rFonts w:ascii="Times New Roman" w:hAnsi="Times New Roman" w:cs="Times New Roman"/>
          <w:sz w:val="24"/>
          <w:szCs w:val="24"/>
        </w:rPr>
        <w:t xml:space="preserve">a of the University of Surrey, who provided invaluable assistance both in research underpinning this report and the organisation of the </w:t>
      </w:r>
      <w:r w:rsidR="00A26808">
        <w:rPr>
          <w:rFonts w:ascii="Times New Roman" w:hAnsi="Times New Roman" w:cs="Times New Roman"/>
          <w:sz w:val="24"/>
          <w:szCs w:val="24"/>
        </w:rPr>
        <w:t>C</w:t>
      </w:r>
      <w:r>
        <w:rPr>
          <w:rFonts w:ascii="Times New Roman" w:hAnsi="Times New Roman" w:cs="Times New Roman"/>
          <w:sz w:val="24"/>
          <w:szCs w:val="24"/>
        </w:rPr>
        <w:t xml:space="preserve">onference. </w:t>
      </w:r>
    </w:p>
    <w:p w14:paraId="6518BB48" w14:textId="787653EA" w:rsidR="00B87D23" w:rsidRPr="00B87D23" w:rsidRDefault="00B87D23" w:rsidP="004856C9">
      <w:pPr>
        <w:jc w:val="both"/>
        <w:rPr>
          <w:rFonts w:ascii="Times New Roman" w:hAnsi="Times New Roman" w:cs="Times New Roman"/>
          <w:sz w:val="24"/>
          <w:szCs w:val="24"/>
          <w:u w:val="single"/>
        </w:rPr>
      </w:pPr>
      <w:r>
        <w:rPr>
          <w:rFonts w:ascii="Times New Roman" w:hAnsi="Times New Roman" w:cs="Times New Roman"/>
          <w:sz w:val="24"/>
          <w:szCs w:val="24"/>
          <w:u w:val="single"/>
        </w:rPr>
        <w:t>Hybrid Model</w:t>
      </w:r>
    </w:p>
    <w:p w14:paraId="265EFBE0" w14:textId="6ED8DAB0" w:rsidR="009A00F3" w:rsidRDefault="00C50A89" w:rsidP="004856C9">
      <w:pPr>
        <w:jc w:val="both"/>
        <w:rPr>
          <w:rFonts w:ascii="Times New Roman" w:hAnsi="Times New Roman" w:cs="Times New Roman"/>
          <w:sz w:val="24"/>
          <w:szCs w:val="24"/>
        </w:rPr>
      </w:pPr>
      <w:r>
        <w:rPr>
          <w:rFonts w:ascii="Times New Roman" w:hAnsi="Times New Roman" w:cs="Times New Roman"/>
          <w:sz w:val="24"/>
          <w:szCs w:val="24"/>
        </w:rPr>
        <w:t>The</w:t>
      </w:r>
      <w:r w:rsidR="00C211FE">
        <w:rPr>
          <w:rFonts w:ascii="Times New Roman" w:hAnsi="Times New Roman" w:cs="Times New Roman"/>
          <w:sz w:val="24"/>
          <w:szCs w:val="24"/>
        </w:rPr>
        <w:t xml:space="preserve"> Conference </w:t>
      </w:r>
      <w:r w:rsidR="004856C9">
        <w:rPr>
          <w:rFonts w:ascii="Times New Roman" w:hAnsi="Times New Roman" w:cs="Times New Roman"/>
          <w:sz w:val="24"/>
          <w:szCs w:val="24"/>
        </w:rPr>
        <w:t xml:space="preserve">was designed with </w:t>
      </w:r>
      <w:r w:rsidR="008A2DA9">
        <w:rPr>
          <w:rFonts w:ascii="Times New Roman" w:hAnsi="Times New Roman" w:cs="Times New Roman"/>
          <w:sz w:val="24"/>
          <w:szCs w:val="24"/>
        </w:rPr>
        <w:t xml:space="preserve">a core </w:t>
      </w:r>
      <w:r w:rsidR="004856C9">
        <w:rPr>
          <w:rFonts w:ascii="Times New Roman" w:hAnsi="Times New Roman" w:cs="Times New Roman"/>
          <w:sz w:val="24"/>
          <w:szCs w:val="24"/>
        </w:rPr>
        <w:t xml:space="preserve">objective </w:t>
      </w:r>
      <w:r w:rsidR="008A2DA9">
        <w:rPr>
          <w:rFonts w:ascii="Times New Roman" w:hAnsi="Times New Roman" w:cs="Times New Roman"/>
          <w:sz w:val="24"/>
          <w:szCs w:val="24"/>
        </w:rPr>
        <w:t xml:space="preserve">to </w:t>
      </w:r>
      <w:r w:rsidR="004856C9">
        <w:rPr>
          <w:rFonts w:ascii="Times New Roman" w:hAnsi="Times New Roman" w:cs="Times New Roman"/>
          <w:sz w:val="24"/>
          <w:szCs w:val="24"/>
        </w:rPr>
        <w:t>achiev</w:t>
      </w:r>
      <w:r w:rsidR="008A2DA9">
        <w:rPr>
          <w:rFonts w:ascii="Times New Roman" w:hAnsi="Times New Roman" w:cs="Times New Roman"/>
          <w:sz w:val="24"/>
          <w:szCs w:val="24"/>
        </w:rPr>
        <w:t xml:space="preserve">e </w:t>
      </w:r>
      <w:r w:rsidR="00572B37">
        <w:rPr>
          <w:rFonts w:ascii="Times New Roman" w:hAnsi="Times New Roman" w:cs="Times New Roman"/>
          <w:sz w:val="24"/>
          <w:szCs w:val="24"/>
        </w:rPr>
        <w:t>a low</w:t>
      </w:r>
      <w:r w:rsidR="008A2DA9">
        <w:rPr>
          <w:rFonts w:ascii="Times New Roman" w:hAnsi="Times New Roman" w:cs="Times New Roman"/>
          <w:sz w:val="24"/>
          <w:szCs w:val="24"/>
        </w:rPr>
        <w:t xml:space="preserve"> </w:t>
      </w:r>
      <w:r w:rsidR="007D4B65">
        <w:rPr>
          <w:rFonts w:ascii="Times New Roman" w:hAnsi="Times New Roman" w:cs="Times New Roman"/>
          <w:sz w:val="24"/>
          <w:szCs w:val="24"/>
        </w:rPr>
        <w:t>emission</w:t>
      </w:r>
      <w:r w:rsidR="008A2DA9">
        <w:rPr>
          <w:rFonts w:ascii="Times New Roman" w:hAnsi="Times New Roman" w:cs="Times New Roman"/>
          <w:sz w:val="24"/>
          <w:szCs w:val="24"/>
        </w:rPr>
        <w:t xml:space="preserve"> footprint, measured as accurately as possible. </w:t>
      </w:r>
      <w:r w:rsidR="004C00B9">
        <w:rPr>
          <w:rFonts w:ascii="Times New Roman" w:hAnsi="Times New Roman" w:cs="Times New Roman"/>
          <w:sz w:val="24"/>
          <w:szCs w:val="24"/>
        </w:rPr>
        <w:t>The first key decision taken was to make it a ‘hybrid’ conference, rather than entirely in-person or entirely remote.</w:t>
      </w:r>
      <w:bookmarkStart w:id="0" w:name="_Ref102413831"/>
      <w:r w:rsidR="004C00B9">
        <w:rPr>
          <w:rStyle w:val="FootnoteReference"/>
          <w:rFonts w:ascii="Times New Roman" w:hAnsi="Times New Roman" w:cs="Times New Roman"/>
          <w:sz w:val="24"/>
          <w:szCs w:val="24"/>
        </w:rPr>
        <w:footnoteReference w:id="3"/>
      </w:r>
      <w:bookmarkEnd w:id="0"/>
      <w:r w:rsidR="004C00B9">
        <w:rPr>
          <w:rFonts w:ascii="Times New Roman" w:hAnsi="Times New Roman" w:cs="Times New Roman"/>
          <w:sz w:val="24"/>
          <w:szCs w:val="24"/>
        </w:rPr>
        <w:t xml:space="preserve"> </w:t>
      </w:r>
      <w:r w:rsidR="00B92F18" w:rsidRPr="003F7803">
        <w:rPr>
          <w:rFonts w:ascii="Times New Roman" w:hAnsi="Times New Roman" w:cs="Times New Roman"/>
          <w:sz w:val="24"/>
          <w:szCs w:val="24"/>
        </w:rPr>
        <w:t xml:space="preserve">Until the disruption caused by </w:t>
      </w:r>
      <w:r w:rsidR="00B92F18" w:rsidRPr="003F7803">
        <w:rPr>
          <w:rFonts w:ascii="Times New Roman" w:hAnsi="Times New Roman" w:cs="Times New Roman"/>
          <w:sz w:val="24"/>
          <w:szCs w:val="24"/>
        </w:rPr>
        <w:lastRenderedPageBreak/>
        <w:t xml:space="preserve">the global pandemic, the standard mode of </w:t>
      </w:r>
      <w:r w:rsidR="00872C8C">
        <w:rPr>
          <w:rFonts w:ascii="Times New Roman" w:hAnsi="Times New Roman" w:cs="Times New Roman"/>
          <w:sz w:val="24"/>
          <w:szCs w:val="24"/>
        </w:rPr>
        <w:t xml:space="preserve">international law conferences was almost always an in-person one. </w:t>
      </w:r>
      <w:r w:rsidR="0068515B">
        <w:rPr>
          <w:rFonts w:ascii="Times New Roman" w:hAnsi="Times New Roman" w:cs="Times New Roman"/>
          <w:sz w:val="24"/>
          <w:szCs w:val="24"/>
        </w:rPr>
        <w:t>Following</w:t>
      </w:r>
      <w:r w:rsidR="00872C8C">
        <w:rPr>
          <w:rFonts w:ascii="Times New Roman" w:hAnsi="Times New Roman" w:cs="Times New Roman"/>
          <w:sz w:val="24"/>
          <w:szCs w:val="24"/>
        </w:rPr>
        <w:t xml:space="preserve"> the </w:t>
      </w:r>
      <w:r w:rsidR="00543946">
        <w:rPr>
          <w:rFonts w:ascii="Times New Roman" w:hAnsi="Times New Roman" w:cs="Times New Roman"/>
          <w:sz w:val="24"/>
          <w:szCs w:val="24"/>
        </w:rPr>
        <w:t>hasty</w:t>
      </w:r>
      <w:r w:rsidR="00872C8C">
        <w:rPr>
          <w:rFonts w:ascii="Times New Roman" w:hAnsi="Times New Roman" w:cs="Times New Roman"/>
          <w:sz w:val="24"/>
          <w:szCs w:val="24"/>
        </w:rPr>
        <w:t xml:space="preserve"> adoption of</w:t>
      </w:r>
      <w:r w:rsidR="00543946">
        <w:rPr>
          <w:rFonts w:ascii="Times New Roman" w:hAnsi="Times New Roman" w:cs="Times New Roman"/>
          <w:sz w:val="24"/>
          <w:szCs w:val="24"/>
        </w:rPr>
        <w:t xml:space="preserve"> the</w:t>
      </w:r>
      <w:r w:rsidR="00872C8C">
        <w:rPr>
          <w:rFonts w:ascii="Times New Roman" w:hAnsi="Times New Roman" w:cs="Times New Roman"/>
          <w:sz w:val="24"/>
          <w:szCs w:val="24"/>
        </w:rPr>
        <w:t xml:space="preserve"> </w:t>
      </w:r>
      <w:r w:rsidR="002150F7">
        <w:rPr>
          <w:rFonts w:ascii="Times New Roman" w:hAnsi="Times New Roman" w:cs="Times New Roman"/>
          <w:sz w:val="24"/>
          <w:szCs w:val="24"/>
        </w:rPr>
        <w:t>virtual</w:t>
      </w:r>
      <w:r w:rsidR="00872C8C">
        <w:rPr>
          <w:rFonts w:ascii="Times New Roman" w:hAnsi="Times New Roman" w:cs="Times New Roman"/>
          <w:sz w:val="24"/>
          <w:szCs w:val="24"/>
        </w:rPr>
        <w:t xml:space="preserve"> format under pandemic restrictions, the</w:t>
      </w:r>
      <w:r w:rsidR="0068515B">
        <w:rPr>
          <w:rFonts w:ascii="Times New Roman" w:hAnsi="Times New Roman" w:cs="Times New Roman"/>
          <w:sz w:val="24"/>
          <w:szCs w:val="24"/>
        </w:rPr>
        <w:t xml:space="preserve">re has been a palpable </w:t>
      </w:r>
      <w:r w:rsidR="002150F7">
        <w:rPr>
          <w:rFonts w:ascii="Times New Roman" w:hAnsi="Times New Roman" w:cs="Times New Roman"/>
          <w:sz w:val="24"/>
          <w:szCs w:val="24"/>
        </w:rPr>
        <w:t>hesitation</w:t>
      </w:r>
      <w:r w:rsidR="0068515B">
        <w:rPr>
          <w:rFonts w:ascii="Times New Roman" w:hAnsi="Times New Roman" w:cs="Times New Roman"/>
          <w:sz w:val="24"/>
          <w:szCs w:val="24"/>
        </w:rPr>
        <w:t xml:space="preserve"> on the question of conference organisation. Should we return to the ‘good old days’? </w:t>
      </w:r>
      <w:r w:rsidR="002056E0">
        <w:rPr>
          <w:rFonts w:ascii="Times New Roman" w:hAnsi="Times New Roman" w:cs="Times New Roman"/>
          <w:sz w:val="24"/>
          <w:szCs w:val="24"/>
        </w:rPr>
        <w:t>Does</w:t>
      </w:r>
      <w:r w:rsidR="0068515B">
        <w:rPr>
          <w:rFonts w:ascii="Times New Roman" w:hAnsi="Times New Roman" w:cs="Times New Roman"/>
          <w:sz w:val="24"/>
          <w:szCs w:val="24"/>
        </w:rPr>
        <w:t xml:space="preserve"> demand even </w:t>
      </w:r>
      <w:r w:rsidR="002056E0">
        <w:rPr>
          <w:rFonts w:ascii="Times New Roman" w:hAnsi="Times New Roman" w:cs="Times New Roman"/>
          <w:sz w:val="24"/>
          <w:szCs w:val="24"/>
        </w:rPr>
        <w:t>exist</w:t>
      </w:r>
      <w:r w:rsidR="0068515B">
        <w:rPr>
          <w:rFonts w:ascii="Times New Roman" w:hAnsi="Times New Roman" w:cs="Times New Roman"/>
          <w:sz w:val="24"/>
          <w:szCs w:val="24"/>
        </w:rPr>
        <w:t xml:space="preserve"> to do so, now that we have had a taste of low-cost, low-</w:t>
      </w:r>
      <w:r w:rsidR="007D4B65">
        <w:rPr>
          <w:rFonts w:ascii="Times New Roman" w:hAnsi="Times New Roman" w:cs="Times New Roman"/>
          <w:sz w:val="24"/>
          <w:szCs w:val="24"/>
        </w:rPr>
        <w:t>emission</w:t>
      </w:r>
      <w:r w:rsidR="0068515B">
        <w:rPr>
          <w:rFonts w:ascii="Times New Roman" w:hAnsi="Times New Roman" w:cs="Times New Roman"/>
          <w:sz w:val="24"/>
          <w:szCs w:val="24"/>
        </w:rPr>
        <w:t xml:space="preserve"> remote participation? </w:t>
      </w:r>
    </w:p>
    <w:p w14:paraId="4B5D25C2" w14:textId="62AFED72" w:rsidR="0068515B" w:rsidRDefault="00947E22" w:rsidP="004856C9">
      <w:pPr>
        <w:jc w:val="both"/>
        <w:rPr>
          <w:rFonts w:ascii="Times New Roman" w:hAnsi="Times New Roman" w:cs="Times New Roman"/>
          <w:sz w:val="24"/>
          <w:szCs w:val="24"/>
        </w:rPr>
      </w:pPr>
      <w:r>
        <w:rPr>
          <w:rFonts w:ascii="Times New Roman" w:hAnsi="Times New Roman" w:cs="Times New Roman"/>
          <w:sz w:val="24"/>
          <w:szCs w:val="24"/>
        </w:rPr>
        <w:t xml:space="preserve">In 2021, the Conference had been an entirely-remote one, </w:t>
      </w:r>
      <w:hyperlink r:id="rId9" w:history="1">
        <w:r w:rsidRPr="00353910">
          <w:rPr>
            <w:rStyle w:val="Hyperlink"/>
            <w:rFonts w:ascii="Times New Roman" w:hAnsi="Times New Roman" w:cs="Times New Roman"/>
            <w:sz w:val="24"/>
            <w:szCs w:val="24"/>
          </w:rPr>
          <w:t>hosted by QMUL</w:t>
        </w:r>
      </w:hyperlink>
      <w:r>
        <w:rPr>
          <w:rFonts w:ascii="Times New Roman" w:hAnsi="Times New Roman" w:cs="Times New Roman"/>
          <w:sz w:val="24"/>
          <w:szCs w:val="24"/>
        </w:rPr>
        <w:t>. In adopting the hybrid model, we wished to test the ability of conference organisers to achieve low-</w:t>
      </w:r>
      <w:r w:rsidR="007D4B65">
        <w:rPr>
          <w:rFonts w:ascii="Times New Roman" w:hAnsi="Times New Roman" w:cs="Times New Roman"/>
          <w:sz w:val="24"/>
          <w:szCs w:val="24"/>
        </w:rPr>
        <w:t>emission</w:t>
      </w:r>
      <w:r>
        <w:rPr>
          <w:rFonts w:ascii="Times New Roman" w:hAnsi="Times New Roman" w:cs="Times New Roman"/>
          <w:sz w:val="24"/>
          <w:szCs w:val="24"/>
        </w:rPr>
        <w:t xml:space="preserve"> outputs while preserving the value –</w:t>
      </w:r>
      <w:r w:rsidR="00206A4D">
        <w:rPr>
          <w:rFonts w:ascii="Times New Roman" w:hAnsi="Times New Roman" w:cs="Times New Roman"/>
          <w:sz w:val="24"/>
          <w:szCs w:val="24"/>
        </w:rPr>
        <w:t xml:space="preserve"> </w:t>
      </w:r>
      <w:r>
        <w:rPr>
          <w:rFonts w:ascii="Times New Roman" w:hAnsi="Times New Roman" w:cs="Times New Roman"/>
          <w:sz w:val="24"/>
          <w:szCs w:val="24"/>
        </w:rPr>
        <w:t xml:space="preserve">a qualitative </w:t>
      </w:r>
      <w:r w:rsidR="00206A4D">
        <w:rPr>
          <w:rFonts w:ascii="Times New Roman" w:hAnsi="Times New Roman" w:cs="Times New Roman"/>
          <w:sz w:val="24"/>
          <w:szCs w:val="24"/>
        </w:rPr>
        <w:t xml:space="preserve">and </w:t>
      </w:r>
      <w:r>
        <w:rPr>
          <w:rFonts w:ascii="Times New Roman" w:hAnsi="Times New Roman" w:cs="Times New Roman"/>
          <w:sz w:val="24"/>
          <w:szCs w:val="24"/>
        </w:rPr>
        <w:t>subjective one</w:t>
      </w:r>
      <w:r w:rsidR="00127E75">
        <w:rPr>
          <w:rFonts w:ascii="Times New Roman" w:hAnsi="Times New Roman" w:cs="Times New Roman"/>
          <w:sz w:val="24"/>
          <w:szCs w:val="24"/>
        </w:rPr>
        <w:t>, yet real</w:t>
      </w:r>
      <w:r>
        <w:rPr>
          <w:rFonts w:ascii="Times New Roman" w:hAnsi="Times New Roman" w:cs="Times New Roman"/>
          <w:sz w:val="24"/>
          <w:szCs w:val="24"/>
        </w:rPr>
        <w:t xml:space="preserve"> – of face-to-face human contact. As we had decided to invite two-thirds of our conference speakers and to select one-third from open competition, </w:t>
      </w:r>
      <w:r w:rsidR="00127E75">
        <w:rPr>
          <w:rFonts w:ascii="Times New Roman" w:hAnsi="Times New Roman" w:cs="Times New Roman"/>
          <w:sz w:val="24"/>
          <w:szCs w:val="24"/>
        </w:rPr>
        <w:t>a second</w:t>
      </w:r>
      <w:r w:rsidR="00F04393">
        <w:rPr>
          <w:rFonts w:ascii="Times New Roman" w:hAnsi="Times New Roman" w:cs="Times New Roman"/>
          <w:sz w:val="24"/>
          <w:szCs w:val="24"/>
        </w:rPr>
        <w:t xml:space="preserve"> policy choice was to communicate an expectation to our speakers that we wished those who would be located overseas at the time of the conference to present remotely </w:t>
      </w:r>
      <w:r w:rsidR="00C20C9A">
        <w:rPr>
          <w:rFonts w:ascii="Times New Roman" w:hAnsi="Times New Roman" w:cs="Times New Roman"/>
          <w:sz w:val="24"/>
          <w:szCs w:val="24"/>
        </w:rPr>
        <w:t>and</w:t>
      </w:r>
      <w:r w:rsidR="00F04393">
        <w:rPr>
          <w:rFonts w:ascii="Times New Roman" w:hAnsi="Times New Roman" w:cs="Times New Roman"/>
          <w:sz w:val="24"/>
          <w:szCs w:val="24"/>
        </w:rPr>
        <w:t xml:space="preserve"> those based in the United Kingdom to </w:t>
      </w:r>
      <w:r w:rsidR="00BA2791">
        <w:rPr>
          <w:rFonts w:ascii="Times New Roman" w:hAnsi="Times New Roman" w:cs="Times New Roman"/>
          <w:sz w:val="24"/>
          <w:szCs w:val="24"/>
        </w:rPr>
        <w:t>attend in-person. This was done primarily for footprint reduction</w:t>
      </w:r>
      <w:r w:rsidR="00C20C9A">
        <w:rPr>
          <w:rFonts w:ascii="Times New Roman" w:hAnsi="Times New Roman" w:cs="Times New Roman"/>
          <w:sz w:val="24"/>
          <w:szCs w:val="24"/>
        </w:rPr>
        <w:t xml:space="preserve"> – balanced against the need for sufficient critical mass to make for an enjoyable in-person experience – </w:t>
      </w:r>
      <w:r w:rsidR="00BA2791">
        <w:rPr>
          <w:rFonts w:ascii="Times New Roman" w:hAnsi="Times New Roman" w:cs="Times New Roman"/>
          <w:sz w:val="24"/>
          <w:szCs w:val="24"/>
        </w:rPr>
        <w:t xml:space="preserve">and secondarily to mitigate against the possibility of travel disruption from sudden Government </w:t>
      </w:r>
      <w:r w:rsidR="00127E75">
        <w:rPr>
          <w:rFonts w:ascii="Times New Roman" w:hAnsi="Times New Roman" w:cs="Times New Roman"/>
          <w:sz w:val="24"/>
          <w:szCs w:val="24"/>
        </w:rPr>
        <w:t>decisions</w:t>
      </w:r>
      <w:r w:rsidR="00BA2791">
        <w:rPr>
          <w:rFonts w:ascii="Times New Roman" w:hAnsi="Times New Roman" w:cs="Times New Roman"/>
          <w:sz w:val="24"/>
          <w:szCs w:val="24"/>
        </w:rPr>
        <w:t>.</w:t>
      </w:r>
      <w:r>
        <w:rPr>
          <w:rFonts w:ascii="Times New Roman" w:hAnsi="Times New Roman" w:cs="Times New Roman"/>
          <w:sz w:val="24"/>
          <w:szCs w:val="24"/>
        </w:rPr>
        <w:t xml:space="preserve">  </w:t>
      </w:r>
    </w:p>
    <w:p w14:paraId="1F9193BF" w14:textId="1F431D03" w:rsidR="00E7074A" w:rsidRDefault="00C20C9A" w:rsidP="004856C9">
      <w:pPr>
        <w:jc w:val="both"/>
        <w:rPr>
          <w:rFonts w:ascii="Times New Roman" w:hAnsi="Times New Roman" w:cs="Times New Roman"/>
          <w:sz w:val="24"/>
          <w:szCs w:val="24"/>
        </w:rPr>
      </w:pPr>
      <w:r>
        <w:rPr>
          <w:rFonts w:ascii="Times New Roman" w:hAnsi="Times New Roman" w:cs="Times New Roman"/>
          <w:sz w:val="24"/>
          <w:szCs w:val="24"/>
        </w:rPr>
        <w:t>In the end, the</w:t>
      </w:r>
      <w:r w:rsidR="00AA6024">
        <w:rPr>
          <w:rFonts w:ascii="Times New Roman" w:hAnsi="Times New Roman" w:cs="Times New Roman"/>
          <w:sz w:val="24"/>
          <w:szCs w:val="24"/>
        </w:rPr>
        <w:t xml:space="preserve"> </w:t>
      </w:r>
      <w:r w:rsidR="00927F08">
        <w:rPr>
          <w:rFonts w:ascii="Times New Roman" w:hAnsi="Times New Roman" w:cs="Times New Roman"/>
          <w:sz w:val="24"/>
          <w:szCs w:val="24"/>
        </w:rPr>
        <w:t xml:space="preserve">balance of remote versus in-person presenters was a ratio of </w:t>
      </w:r>
      <w:r w:rsidR="0074449E">
        <w:rPr>
          <w:rFonts w:ascii="Times New Roman" w:hAnsi="Times New Roman" w:cs="Times New Roman"/>
          <w:sz w:val="24"/>
          <w:szCs w:val="24"/>
        </w:rPr>
        <w:t>3:1 (16:5).</w:t>
      </w:r>
      <w:r>
        <w:rPr>
          <w:rStyle w:val="FootnoteReference"/>
          <w:rFonts w:ascii="Times New Roman" w:hAnsi="Times New Roman" w:cs="Times New Roman"/>
          <w:sz w:val="24"/>
          <w:szCs w:val="24"/>
        </w:rPr>
        <w:footnoteReference w:id="4"/>
      </w:r>
      <w:r w:rsidR="0074449E">
        <w:rPr>
          <w:rFonts w:ascii="Times New Roman" w:hAnsi="Times New Roman" w:cs="Times New Roman"/>
          <w:sz w:val="24"/>
          <w:szCs w:val="24"/>
        </w:rPr>
        <w:t xml:space="preserve"> </w:t>
      </w:r>
      <w:r w:rsidR="002261A1">
        <w:rPr>
          <w:rFonts w:ascii="Times New Roman" w:hAnsi="Times New Roman" w:cs="Times New Roman"/>
          <w:sz w:val="24"/>
          <w:szCs w:val="24"/>
        </w:rPr>
        <w:t>There was</w:t>
      </w:r>
      <w:r w:rsidR="00E7074A">
        <w:rPr>
          <w:rFonts w:ascii="Times New Roman" w:hAnsi="Times New Roman" w:cs="Times New Roman"/>
          <w:sz w:val="24"/>
          <w:szCs w:val="24"/>
        </w:rPr>
        <w:t xml:space="preserve"> no resistance </w:t>
      </w:r>
      <w:r w:rsidR="002261A1">
        <w:rPr>
          <w:rFonts w:ascii="Times New Roman" w:hAnsi="Times New Roman" w:cs="Times New Roman"/>
          <w:sz w:val="24"/>
          <w:szCs w:val="24"/>
        </w:rPr>
        <w:t xml:space="preserve">whatsoever </w:t>
      </w:r>
      <w:r w:rsidR="00E7074A">
        <w:rPr>
          <w:rFonts w:ascii="Times New Roman" w:hAnsi="Times New Roman" w:cs="Times New Roman"/>
          <w:sz w:val="24"/>
          <w:szCs w:val="24"/>
        </w:rPr>
        <w:t xml:space="preserve">to </w:t>
      </w:r>
      <w:r w:rsidR="000679F9">
        <w:rPr>
          <w:rFonts w:ascii="Times New Roman" w:hAnsi="Times New Roman" w:cs="Times New Roman"/>
          <w:sz w:val="24"/>
          <w:szCs w:val="24"/>
        </w:rPr>
        <w:t>our</w:t>
      </w:r>
      <w:r w:rsidR="00E7074A">
        <w:rPr>
          <w:rFonts w:ascii="Times New Roman" w:hAnsi="Times New Roman" w:cs="Times New Roman"/>
          <w:sz w:val="24"/>
          <w:szCs w:val="24"/>
        </w:rPr>
        <w:t xml:space="preserve"> request</w:t>
      </w:r>
      <w:r w:rsidR="002261A1">
        <w:rPr>
          <w:rFonts w:ascii="Times New Roman" w:hAnsi="Times New Roman" w:cs="Times New Roman"/>
          <w:sz w:val="24"/>
          <w:szCs w:val="24"/>
        </w:rPr>
        <w:t xml:space="preserve">; </w:t>
      </w:r>
      <w:r w:rsidR="00E7074A">
        <w:rPr>
          <w:rFonts w:ascii="Times New Roman" w:hAnsi="Times New Roman" w:cs="Times New Roman"/>
          <w:sz w:val="24"/>
          <w:szCs w:val="24"/>
        </w:rPr>
        <w:t xml:space="preserve">to the contrary, </w:t>
      </w:r>
      <w:r w:rsidR="000679F9">
        <w:rPr>
          <w:rFonts w:ascii="Times New Roman" w:hAnsi="Times New Roman" w:cs="Times New Roman"/>
          <w:sz w:val="24"/>
          <w:szCs w:val="24"/>
        </w:rPr>
        <w:t>we</w:t>
      </w:r>
      <w:r w:rsidR="002261A1">
        <w:rPr>
          <w:rFonts w:ascii="Times New Roman" w:hAnsi="Times New Roman" w:cs="Times New Roman"/>
          <w:sz w:val="24"/>
          <w:szCs w:val="24"/>
        </w:rPr>
        <w:t xml:space="preserve"> encountered </w:t>
      </w:r>
      <w:r w:rsidR="00E7074A">
        <w:rPr>
          <w:rFonts w:ascii="Times New Roman" w:hAnsi="Times New Roman" w:cs="Times New Roman"/>
          <w:sz w:val="24"/>
          <w:szCs w:val="24"/>
        </w:rPr>
        <w:t xml:space="preserve">universal understanding and support. To take </w:t>
      </w:r>
      <w:r w:rsidR="009461F7">
        <w:rPr>
          <w:rFonts w:ascii="Times New Roman" w:hAnsi="Times New Roman" w:cs="Times New Roman"/>
          <w:sz w:val="24"/>
          <w:szCs w:val="24"/>
        </w:rPr>
        <w:t xml:space="preserve">but </w:t>
      </w:r>
      <w:r w:rsidR="00E7074A">
        <w:rPr>
          <w:rFonts w:ascii="Times New Roman" w:hAnsi="Times New Roman" w:cs="Times New Roman"/>
          <w:sz w:val="24"/>
          <w:szCs w:val="24"/>
        </w:rPr>
        <w:t xml:space="preserve">one example, one of the </w:t>
      </w:r>
      <w:r w:rsidR="000679F9">
        <w:rPr>
          <w:rFonts w:ascii="Times New Roman" w:hAnsi="Times New Roman" w:cs="Times New Roman"/>
          <w:sz w:val="24"/>
          <w:szCs w:val="24"/>
        </w:rPr>
        <w:t>eight</w:t>
      </w:r>
      <w:r w:rsidR="00066B1C">
        <w:rPr>
          <w:rFonts w:ascii="Times New Roman" w:hAnsi="Times New Roman" w:cs="Times New Roman"/>
          <w:sz w:val="24"/>
          <w:szCs w:val="24"/>
        </w:rPr>
        <w:t xml:space="preserve"> speakers selected from </w:t>
      </w:r>
      <w:r w:rsidR="0090792F">
        <w:rPr>
          <w:rFonts w:ascii="Times New Roman" w:hAnsi="Times New Roman" w:cs="Times New Roman"/>
          <w:sz w:val="24"/>
          <w:szCs w:val="24"/>
        </w:rPr>
        <w:t>86 abstracts submitted was a</w:t>
      </w:r>
      <w:r w:rsidR="00E54358">
        <w:rPr>
          <w:rFonts w:ascii="Times New Roman" w:hAnsi="Times New Roman" w:cs="Times New Roman"/>
          <w:sz w:val="24"/>
          <w:szCs w:val="24"/>
        </w:rPr>
        <w:t xml:space="preserve">n early career researcher </w:t>
      </w:r>
      <w:r w:rsidR="0090792F">
        <w:rPr>
          <w:rFonts w:ascii="Times New Roman" w:hAnsi="Times New Roman" w:cs="Times New Roman"/>
          <w:sz w:val="24"/>
          <w:szCs w:val="24"/>
        </w:rPr>
        <w:t xml:space="preserve">who wished to attend in-person to benefit from the opportunity for in-person interaction. </w:t>
      </w:r>
      <w:r w:rsidR="00CA574C">
        <w:rPr>
          <w:rFonts w:ascii="Times New Roman" w:hAnsi="Times New Roman" w:cs="Times New Roman"/>
          <w:sz w:val="24"/>
          <w:szCs w:val="24"/>
        </w:rPr>
        <w:t>The speaker</w:t>
      </w:r>
      <w:r w:rsidR="0090792F">
        <w:rPr>
          <w:rFonts w:ascii="Times New Roman" w:hAnsi="Times New Roman" w:cs="Times New Roman"/>
          <w:sz w:val="24"/>
          <w:szCs w:val="24"/>
        </w:rPr>
        <w:t xml:space="preserve"> </w:t>
      </w:r>
      <w:r w:rsidR="00127E75">
        <w:rPr>
          <w:rFonts w:ascii="Times New Roman" w:hAnsi="Times New Roman" w:cs="Times New Roman"/>
          <w:sz w:val="24"/>
          <w:szCs w:val="24"/>
        </w:rPr>
        <w:t xml:space="preserve">agreed to </w:t>
      </w:r>
      <w:r w:rsidR="0090792F">
        <w:rPr>
          <w:rFonts w:ascii="Times New Roman" w:hAnsi="Times New Roman" w:cs="Times New Roman"/>
          <w:sz w:val="24"/>
          <w:szCs w:val="24"/>
        </w:rPr>
        <w:t>make the journey by train</w:t>
      </w:r>
      <w:r w:rsidR="009461F7">
        <w:rPr>
          <w:rFonts w:ascii="Times New Roman" w:hAnsi="Times New Roman" w:cs="Times New Roman"/>
          <w:sz w:val="24"/>
          <w:szCs w:val="24"/>
        </w:rPr>
        <w:t>, rather than flight</w:t>
      </w:r>
      <w:r w:rsidR="00E54358">
        <w:rPr>
          <w:rFonts w:ascii="Times New Roman" w:hAnsi="Times New Roman" w:cs="Times New Roman"/>
          <w:sz w:val="24"/>
          <w:szCs w:val="24"/>
        </w:rPr>
        <w:t>; I</w:t>
      </w:r>
      <w:r w:rsidR="009461F7">
        <w:rPr>
          <w:rFonts w:ascii="Times New Roman" w:hAnsi="Times New Roman" w:cs="Times New Roman"/>
          <w:sz w:val="24"/>
          <w:szCs w:val="24"/>
        </w:rPr>
        <w:t xml:space="preserve"> </w:t>
      </w:r>
      <w:r w:rsidR="00E54358">
        <w:rPr>
          <w:rFonts w:ascii="Times New Roman" w:hAnsi="Times New Roman" w:cs="Times New Roman"/>
          <w:sz w:val="24"/>
          <w:szCs w:val="24"/>
        </w:rPr>
        <w:t>undertook</w:t>
      </w:r>
      <w:r w:rsidR="009461F7">
        <w:rPr>
          <w:rFonts w:ascii="Times New Roman" w:hAnsi="Times New Roman" w:cs="Times New Roman"/>
          <w:sz w:val="24"/>
          <w:szCs w:val="24"/>
        </w:rPr>
        <w:t xml:space="preserve"> to support </w:t>
      </w:r>
      <w:r w:rsidR="000679F9">
        <w:rPr>
          <w:rFonts w:ascii="Times New Roman" w:hAnsi="Times New Roman" w:cs="Times New Roman"/>
          <w:sz w:val="24"/>
          <w:szCs w:val="24"/>
        </w:rPr>
        <w:t>a</w:t>
      </w:r>
      <w:r w:rsidR="009461F7">
        <w:rPr>
          <w:rFonts w:ascii="Times New Roman" w:hAnsi="Times New Roman" w:cs="Times New Roman"/>
          <w:sz w:val="24"/>
          <w:szCs w:val="24"/>
        </w:rPr>
        <w:t xml:space="preserve"> visa application. When the visa was awarded two days prior, </w:t>
      </w:r>
      <w:r w:rsidR="00127E75">
        <w:rPr>
          <w:rFonts w:ascii="Times New Roman" w:hAnsi="Times New Roman" w:cs="Times New Roman"/>
          <w:sz w:val="24"/>
          <w:szCs w:val="24"/>
        </w:rPr>
        <w:t>the presenter</w:t>
      </w:r>
      <w:r w:rsidR="009461F7">
        <w:rPr>
          <w:rFonts w:ascii="Times New Roman" w:hAnsi="Times New Roman" w:cs="Times New Roman"/>
          <w:sz w:val="24"/>
          <w:szCs w:val="24"/>
        </w:rPr>
        <w:t xml:space="preserve"> discovered that the ticket prices were prohibitively expensive; in response to </w:t>
      </w:r>
      <w:r w:rsidR="00127E75">
        <w:rPr>
          <w:rFonts w:ascii="Times New Roman" w:hAnsi="Times New Roman" w:cs="Times New Roman"/>
          <w:sz w:val="24"/>
          <w:szCs w:val="24"/>
        </w:rPr>
        <w:t>a</w:t>
      </w:r>
      <w:r w:rsidR="00EB5D81">
        <w:rPr>
          <w:rFonts w:ascii="Times New Roman" w:hAnsi="Times New Roman" w:cs="Times New Roman"/>
          <w:sz w:val="24"/>
          <w:szCs w:val="24"/>
        </w:rPr>
        <w:t>n honourable</w:t>
      </w:r>
      <w:r w:rsidR="00E8775D">
        <w:rPr>
          <w:rFonts w:ascii="Times New Roman" w:hAnsi="Times New Roman" w:cs="Times New Roman"/>
          <w:sz w:val="24"/>
          <w:szCs w:val="24"/>
        </w:rPr>
        <w:t xml:space="preserve"> </w:t>
      </w:r>
      <w:r w:rsidR="009461F7">
        <w:rPr>
          <w:rFonts w:ascii="Times New Roman" w:hAnsi="Times New Roman" w:cs="Times New Roman"/>
          <w:sz w:val="24"/>
          <w:szCs w:val="24"/>
        </w:rPr>
        <w:t xml:space="preserve">request to travel by flight, </w:t>
      </w:r>
      <w:r w:rsidR="00E54358">
        <w:rPr>
          <w:rFonts w:ascii="Times New Roman" w:hAnsi="Times New Roman" w:cs="Times New Roman"/>
          <w:sz w:val="24"/>
          <w:szCs w:val="24"/>
        </w:rPr>
        <w:t>I</w:t>
      </w:r>
      <w:r w:rsidR="009461F7">
        <w:rPr>
          <w:rFonts w:ascii="Times New Roman" w:hAnsi="Times New Roman" w:cs="Times New Roman"/>
          <w:sz w:val="24"/>
          <w:szCs w:val="24"/>
        </w:rPr>
        <w:t xml:space="preserve"> suggested that </w:t>
      </w:r>
      <w:r w:rsidR="00127E75">
        <w:rPr>
          <w:rFonts w:ascii="Times New Roman" w:hAnsi="Times New Roman" w:cs="Times New Roman"/>
          <w:sz w:val="24"/>
          <w:szCs w:val="24"/>
        </w:rPr>
        <w:t>the speaker</w:t>
      </w:r>
      <w:r w:rsidR="009461F7">
        <w:rPr>
          <w:rFonts w:ascii="Times New Roman" w:hAnsi="Times New Roman" w:cs="Times New Roman"/>
          <w:sz w:val="24"/>
          <w:szCs w:val="24"/>
        </w:rPr>
        <w:t xml:space="preserve"> consider a combination of ferry and train within the U.K., or revert to remote participation. </w:t>
      </w:r>
      <w:r w:rsidR="00EB5D81">
        <w:rPr>
          <w:rFonts w:ascii="Times New Roman" w:hAnsi="Times New Roman" w:cs="Times New Roman"/>
          <w:sz w:val="24"/>
          <w:szCs w:val="24"/>
        </w:rPr>
        <w:t>The</w:t>
      </w:r>
      <w:r w:rsidR="00127E75">
        <w:rPr>
          <w:rFonts w:ascii="Times New Roman" w:hAnsi="Times New Roman" w:cs="Times New Roman"/>
          <w:sz w:val="24"/>
          <w:szCs w:val="24"/>
        </w:rPr>
        <w:t xml:space="preserve"> speaker</w:t>
      </w:r>
      <w:r w:rsidR="009461F7">
        <w:rPr>
          <w:rFonts w:ascii="Times New Roman" w:hAnsi="Times New Roman" w:cs="Times New Roman"/>
          <w:sz w:val="24"/>
          <w:szCs w:val="24"/>
        </w:rPr>
        <w:t xml:space="preserve"> elected</w:t>
      </w:r>
      <w:r w:rsidR="00E8775D">
        <w:rPr>
          <w:rFonts w:ascii="Times New Roman" w:hAnsi="Times New Roman" w:cs="Times New Roman"/>
          <w:sz w:val="24"/>
          <w:szCs w:val="24"/>
        </w:rPr>
        <w:t xml:space="preserve"> with good </w:t>
      </w:r>
      <w:r w:rsidR="009461F7">
        <w:rPr>
          <w:rFonts w:ascii="Times New Roman" w:hAnsi="Times New Roman" w:cs="Times New Roman"/>
          <w:sz w:val="24"/>
          <w:szCs w:val="24"/>
        </w:rPr>
        <w:t>grace to present remotely.</w:t>
      </w:r>
      <w:r w:rsidR="00FD7F0C">
        <w:rPr>
          <w:rStyle w:val="FootnoteReference"/>
          <w:rFonts w:ascii="Times New Roman" w:hAnsi="Times New Roman" w:cs="Times New Roman"/>
          <w:sz w:val="24"/>
          <w:szCs w:val="24"/>
        </w:rPr>
        <w:footnoteReference w:id="5"/>
      </w:r>
      <w:r w:rsidR="009461F7">
        <w:rPr>
          <w:rFonts w:ascii="Times New Roman" w:hAnsi="Times New Roman" w:cs="Times New Roman"/>
          <w:sz w:val="24"/>
          <w:szCs w:val="24"/>
        </w:rPr>
        <w:t xml:space="preserve">    </w:t>
      </w:r>
      <w:r w:rsidR="0090792F">
        <w:rPr>
          <w:rFonts w:ascii="Times New Roman" w:hAnsi="Times New Roman" w:cs="Times New Roman"/>
          <w:sz w:val="24"/>
          <w:szCs w:val="24"/>
        </w:rPr>
        <w:t xml:space="preserve"> </w:t>
      </w:r>
    </w:p>
    <w:p w14:paraId="2595B0C9" w14:textId="04A3F754" w:rsidR="00CC3979" w:rsidRDefault="00CD0E59" w:rsidP="004856C9">
      <w:pPr>
        <w:jc w:val="both"/>
        <w:rPr>
          <w:rFonts w:ascii="Times New Roman" w:hAnsi="Times New Roman" w:cs="Times New Roman"/>
          <w:sz w:val="24"/>
          <w:szCs w:val="24"/>
        </w:rPr>
      </w:pPr>
      <w:r>
        <w:rPr>
          <w:rFonts w:ascii="Times New Roman" w:hAnsi="Times New Roman" w:cs="Times New Roman"/>
          <w:sz w:val="24"/>
          <w:szCs w:val="24"/>
        </w:rPr>
        <w:t>We</w:t>
      </w:r>
      <w:r w:rsidR="00B95E1E">
        <w:rPr>
          <w:rFonts w:ascii="Times New Roman" w:hAnsi="Times New Roman" w:cs="Times New Roman"/>
          <w:sz w:val="24"/>
          <w:szCs w:val="24"/>
        </w:rPr>
        <w:t xml:space="preserve"> took this policy a step farther by requesting in the advertisement of the Conference that </w:t>
      </w:r>
      <w:r w:rsidR="00EA4E92">
        <w:rPr>
          <w:rFonts w:ascii="Times New Roman" w:hAnsi="Times New Roman" w:cs="Times New Roman"/>
          <w:sz w:val="24"/>
          <w:szCs w:val="24"/>
        </w:rPr>
        <w:t xml:space="preserve">registrants located abroad attending remotely, while registrants in-country and intending to attend in-person use public transport. </w:t>
      </w:r>
      <w:r w:rsidR="008C7561">
        <w:rPr>
          <w:rFonts w:ascii="Times New Roman" w:hAnsi="Times New Roman" w:cs="Times New Roman"/>
          <w:sz w:val="24"/>
          <w:szCs w:val="24"/>
        </w:rPr>
        <w:t xml:space="preserve">Having benefited from the generous sponsorship of the </w:t>
      </w:r>
      <w:r w:rsidR="000867B9">
        <w:rPr>
          <w:rFonts w:ascii="Times New Roman" w:hAnsi="Times New Roman" w:cs="Times New Roman"/>
          <w:sz w:val="24"/>
          <w:szCs w:val="24"/>
        </w:rPr>
        <w:t>FCDO</w:t>
      </w:r>
      <w:r w:rsidR="008C7561">
        <w:rPr>
          <w:rFonts w:ascii="Times New Roman" w:hAnsi="Times New Roman" w:cs="Times New Roman"/>
          <w:sz w:val="24"/>
          <w:szCs w:val="24"/>
        </w:rPr>
        <w:t xml:space="preserve">, Fietta LLP, WilmerHale LLP, </w:t>
      </w:r>
      <w:r w:rsidR="000867B9">
        <w:rPr>
          <w:rFonts w:ascii="Times New Roman" w:hAnsi="Times New Roman" w:cs="Times New Roman"/>
          <w:sz w:val="24"/>
          <w:szCs w:val="24"/>
        </w:rPr>
        <w:t>MUP</w:t>
      </w:r>
      <w:r w:rsidR="008C7561">
        <w:rPr>
          <w:rFonts w:ascii="Times New Roman" w:hAnsi="Times New Roman" w:cs="Times New Roman"/>
          <w:sz w:val="24"/>
          <w:szCs w:val="24"/>
        </w:rPr>
        <w:t xml:space="preserve">, Intersentia and Hart, </w:t>
      </w:r>
      <w:r w:rsidR="00EB5D81">
        <w:rPr>
          <w:rFonts w:ascii="Times New Roman" w:hAnsi="Times New Roman" w:cs="Times New Roman"/>
          <w:sz w:val="24"/>
          <w:szCs w:val="24"/>
        </w:rPr>
        <w:t>we</w:t>
      </w:r>
      <w:r w:rsidR="008C7561">
        <w:rPr>
          <w:rFonts w:ascii="Times New Roman" w:hAnsi="Times New Roman" w:cs="Times New Roman"/>
          <w:sz w:val="24"/>
          <w:szCs w:val="24"/>
        </w:rPr>
        <w:t xml:space="preserve"> priced tickets to strike </w:t>
      </w:r>
      <w:r w:rsidR="009A53F8">
        <w:rPr>
          <w:rFonts w:ascii="Times New Roman" w:hAnsi="Times New Roman" w:cs="Times New Roman"/>
          <w:sz w:val="24"/>
          <w:szCs w:val="24"/>
        </w:rPr>
        <w:t>what seemed to be a fair balance in the distribution of costs and incentives for remote versus in-person attendance.</w:t>
      </w:r>
      <w:r>
        <w:rPr>
          <w:rStyle w:val="FootnoteReference"/>
          <w:rFonts w:ascii="Times New Roman" w:hAnsi="Times New Roman" w:cs="Times New Roman"/>
          <w:sz w:val="24"/>
          <w:szCs w:val="24"/>
        </w:rPr>
        <w:footnoteReference w:id="6"/>
      </w:r>
      <w:r w:rsidR="009A53F8">
        <w:rPr>
          <w:rFonts w:ascii="Times New Roman" w:hAnsi="Times New Roman" w:cs="Times New Roman"/>
          <w:sz w:val="24"/>
          <w:szCs w:val="24"/>
        </w:rPr>
        <w:t xml:space="preserve"> </w:t>
      </w:r>
      <w:r w:rsidR="00083AF2">
        <w:rPr>
          <w:rFonts w:ascii="Times New Roman" w:hAnsi="Times New Roman" w:cs="Times New Roman"/>
          <w:sz w:val="24"/>
          <w:szCs w:val="24"/>
        </w:rPr>
        <w:t>The conference dinner, hosted by Guildford Harbour Hotel, was priced as a free addition, capped at 45 registrants on a first-come, first-served basis. 113 persons registered of whom 66 were in-person and 47 remote</w:t>
      </w:r>
      <w:r w:rsidR="00CC3979">
        <w:rPr>
          <w:rFonts w:ascii="Times New Roman" w:hAnsi="Times New Roman" w:cs="Times New Roman"/>
          <w:sz w:val="24"/>
          <w:szCs w:val="24"/>
        </w:rPr>
        <w:t>.</w:t>
      </w:r>
    </w:p>
    <w:p w14:paraId="4C716287" w14:textId="30041D48" w:rsidR="00817F10" w:rsidRDefault="00A1563E" w:rsidP="004856C9">
      <w:pPr>
        <w:jc w:val="both"/>
        <w:rPr>
          <w:rFonts w:ascii="Times New Roman" w:hAnsi="Times New Roman" w:cs="Times New Roman"/>
          <w:sz w:val="24"/>
          <w:szCs w:val="24"/>
        </w:rPr>
      </w:pPr>
      <w:r>
        <w:rPr>
          <w:rFonts w:ascii="Times New Roman" w:hAnsi="Times New Roman" w:cs="Times New Roman"/>
          <w:sz w:val="24"/>
          <w:szCs w:val="24"/>
        </w:rPr>
        <w:t xml:space="preserve">As depicted in Graph One, </w:t>
      </w:r>
      <w:r w:rsidR="009D00E6">
        <w:rPr>
          <w:rFonts w:ascii="Times New Roman" w:hAnsi="Times New Roman" w:cs="Times New Roman"/>
          <w:sz w:val="24"/>
          <w:szCs w:val="24"/>
        </w:rPr>
        <w:t>total CO</w:t>
      </w:r>
      <w:r w:rsidR="009D00E6" w:rsidRPr="009D00E6">
        <w:rPr>
          <w:rFonts w:ascii="Times New Roman" w:hAnsi="Times New Roman" w:cs="Times New Roman"/>
          <w:sz w:val="24"/>
          <w:szCs w:val="24"/>
          <w:vertAlign w:val="superscript"/>
        </w:rPr>
        <w:t>2</w:t>
      </w:r>
      <w:r w:rsidR="009D00E6">
        <w:rPr>
          <w:rFonts w:ascii="Times New Roman" w:hAnsi="Times New Roman" w:cs="Times New Roman"/>
          <w:sz w:val="24"/>
          <w:szCs w:val="24"/>
        </w:rPr>
        <w:t xml:space="preserve"> </w:t>
      </w:r>
      <w:r w:rsidR="00E57948">
        <w:rPr>
          <w:rFonts w:ascii="Times New Roman" w:hAnsi="Times New Roman" w:cs="Times New Roman"/>
          <w:sz w:val="24"/>
          <w:szCs w:val="24"/>
        </w:rPr>
        <w:t xml:space="preserve">equivalent </w:t>
      </w:r>
      <w:r w:rsidR="009D00E6">
        <w:rPr>
          <w:rFonts w:ascii="Times New Roman" w:hAnsi="Times New Roman" w:cs="Times New Roman"/>
          <w:sz w:val="24"/>
          <w:szCs w:val="24"/>
        </w:rPr>
        <w:t>emissions</w:t>
      </w:r>
      <w:r w:rsidR="004355EC">
        <w:rPr>
          <w:rFonts w:ascii="Times New Roman" w:hAnsi="Times New Roman" w:cs="Times New Roman"/>
          <w:sz w:val="24"/>
          <w:szCs w:val="24"/>
        </w:rPr>
        <w:t xml:space="preserve"> </w:t>
      </w:r>
      <w:r w:rsidR="00825D3A">
        <w:rPr>
          <w:rFonts w:ascii="Times New Roman" w:hAnsi="Times New Roman" w:cs="Times New Roman"/>
          <w:sz w:val="24"/>
          <w:szCs w:val="24"/>
        </w:rPr>
        <w:t xml:space="preserve">from transport </w:t>
      </w:r>
      <w:r w:rsidR="004355EC">
        <w:rPr>
          <w:rFonts w:ascii="Times New Roman" w:hAnsi="Times New Roman" w:cs="Times New Roman"/>
          <w:sz w:val="24"/>
          <w:szCs w:val="24"/>
        </w:rPr>
        <w:t xml:space="preserve">were </w:t>
      </w:r>
      <w:r w:rsidR="00DF10AC">
        <w:rPr>
          <w:rFonts w:ascii="Times New Roman" w:hAnsi="Times New Roman" w:cs="Times New Roman"/>
          <w:sz w:val="24"/>
          <w:szCs w:val="24"/>
        </w:rPr>
        <w:t xml:space="preserve">an estimated </w:t>
      </w:r>
      <w:r w:rsidR="00122CD8" w:rsidRPr="00F32D66">
        <w:rPr>
          <w:rFonts w:ascii="Times New Roman" w:hAnsi="Times New Roman" w:cs="Times New Roman"/>
          <w:b/>
          <w:bCs/>
          <w:color w:val="FF0000"/>
          <w:sz w:val="24"/>
          <w:szCs w:val="24"/>
        </w:rPr>
        <w:t>295</w:t>
      </w:r>
      <w:r w:rsidR="00825D3A" w:rsidRPr="00F32D66">
        <w:rPr>
          <w:rFonts w:ascii="Times New Roman" w:hAnsi="Times New Roman" w:cs="Times New Roman"/>
          <w:b/>
          <w:bCs/>
          <w:color w:val="FF0000"/>
          <w:sz w:val="24"/>
          <w:szCs w:val="24"/>
        </w:rPr>
        <w:t xml:space="preserve"> tonnes</w:t>
      </w:r>
      <w:r w:rsidR="002A210A" w:rsidRPr="00F32D66">
        <w:rPr>
          <w:rFonts w:ascii="Times New Roman" w:hAnsi="Times New Roman" w:cs="Times New Roman"/>
          <w:b/>
          <w:bCs/>
          <w:color w:val="FF0000"/>
          <w:sz w:val="24"/>
          <w:szCs w:val="24"/>
        </w:rPr>
        <w:t xml:space="preserve"> </w:t>
      </w:r>
      <w:r w:rsidR="002A210A" w:rsidRPr="00D84830">
        <w:rPr>
          <w:rFonts w:ascii="Times New Roman" w:hAnsi="Times New Roman" w:cs="Times New Roman"/>
          <w:b/>
          <w:bCs/>
          <w:sz w:val="24"/>
          <w:szCs w:val="24"/>
        </w:rPr>
        <w:t>from 35 in-person attendees</w:t>
      </w:r>
      <w:r w:rsidR="00AC5621" w:rsidRPr="00D84830">
        <w:rPr>
          <w:rFonts w:ascii="Times New Roman" w:hAnsi="Times New Roman" w:cs="Times New Roman"/>
          <w:b/>
          <w:bCs/>
          <w:sz w:val="24"/>
          <w:szCs w:val="24"/>
        </w:rPr>
        <w:t xml:space="preserve"> and 29 </w:t>
      </w:r>
      <w:r w:rsidR="001E26FB" w:rsidRPr="00D84830">
        <w:rPr>
          <w:rFonts w:ascii="Times New Roman" w:hAnsi="Times New Roman" w:cs="Times New Roman"/>
          <w:b/>
          <w:bCs/>
          <w:sz w:val="24"/>
          <w:szCs w:val="24"/>
        </w:rPr>
        <w:t>remote</w:t>
      </w:r>
      <w:r w:rsidR="00AC5621" w:rsidRPr="00D84830">
        <w:rPr>
          <w:rFonts w:ascii="Times New Roman" w:hAnsi="Times New Roman" w:cs="Times New Roman"/>
          <w:b/>
          <w:bCs/>
          <w:sz w:val="24"/>
          <w:szCs w:val="24"/>
        </w:rPr>
        <w:t xml:space="preserve"> attendees</w:t>
      </w:r>
      <w:r w:rsidR="00E57948">
        <w:rPr>
          <w:rFonts w:ascii="Times New Roman" w:hAnsi="Times New Roman" w:cs="Times New Roman"/>
          <w:sz w:val="24"/>
          <w:szCs w:val="24"/>
        </w:rPr>
        <w:t>;</w:t>
      </w:r>
      <w:r w:rsidR="00937DF1">
        <w:rPr>
          <w:rStyle w:val="FootnoteReference"/>
          <w:rFonts w:ascii="Times New Roman" w:hAnsi="Times New Roman" w:cs="Times New Roman"/>
          <w:sz w:val="24"/>
          <w:szCs w:val="24"/>
        </w:rPr>
        <w:footnoteReference w:id="7"/>
      </w:r>
      <w:r w:rsidR="00E57948">
        <w:rPr>
          <w:rFonts w:ascii="Times New Roman" w:hAnsi="Times New Roman" w:cs="Times New Roman"/>
          <w:sz w:val="24"/>
          <w:szCs w:val="24"/>
        </w:rPr>
        <w:t xml:space="preserve"> not a </w:t>
      </w:r>
      <w:r w:rsidR="00AC5621">
        <w:rPr>
          <w:rFonts w:ascii="Times New Roman" w:hAnsi="Times New Roman" w:cs="Times New Roman"/>
          <w:sz w:val="24"/>
          <w:szCs w:val="24"/>
        </w:rPr>
        <w:t xml:space="preserve">single flight was </w:t>
      </w:r>
      <w:r w:rsidR="00AC5621">
        <w:rPr>
          <w:rFonts w:ascii="Times New Roman" w:hAnsi="Times New Roman" w:cs="Times New Roman"/>
          <w:sz w:val="24"/>
          <w:szCs w:val="24"/>
        </w:rPr>
        <w:lastRenderedPageBreak/>
        <w:t>taken to the event.</w:t>
      </w:r>
      <w:r w:rsidR="00AC5621">
        <w:rPr>
          <w:rStyle w:val="FootnoteReference"/>
          <w:rFonts w:ascii="Times New Roman" w:hAnsi="Times New Roman" w:cs="Times New Roman"/>
          <w:sz w:val="24"/>
          <w:szCs w:val="24"/>
        </w:rPr>
        <w:footnoteReference w:id="8"/>
      </w:r>
      <w:r w:rsidR="00722939">
        <w:rPr>
          <w:rFonts w:ascii="Times New Roman" w:hAnsi="Times New Roman" w:cs="Times New Roman"/>
          <w:sz w:val="24"/>
          <w:szCs w:val="24"/>
        </w:rPr>
        <w:t xml:space="preserve"> As </w:t>
      </w:r>
      <w:r w:rsidR="00BB2B61">
        <w:rPr>
          <w:rFonts w:ascii="Times New Roman" w:hAnsi="Times New Roman" w:cs="Times New Roman"/>
          <w:sz w:val="24"/>
          <w:szCs w:val="24"/>
        </w:rPr>
        <w:t>displayed</w:t>
      </w:r>
      <w:r w:rsidR="00722939">
        <w:rPr>
          <w:rFonts w:ascii="Times New Roman" w:hAnsi="Times New Roman" w:cs="Times New Roman"/>
          <w:sz w:val="24"/>
          <w:szCs w:val="24"/>
        </w:rPr>
        <w:t xml:space="preserve"> in Graph </w:t>
      </w:r>
      <w:r w:rsidR="001E26FB">
        <w:rPr>
          <w:rFonts w:ascii="Times New Roman" w:hAnsi="Times New Roman" w:cs="Times New Roman"/>
          <w:sz w:val="24"/>
          <w:szCs w:val="24"/>
        </w:rPr>
        <w:t xml:space="preserve">Two, estimated total emissions from the remote attendees (based on location of home institution) would have been </w:t>
      </w:r>
      <w:r w:rsidR="00BB2B61" w:rsidRPr="006E5E4E">
        <w:rPr>
          <w:rFonts w:ascii="Times New Roman" w:hAnsi="Times New Roman" w:cs="Times New Roman"/>
          <w:color w:val="FF0000"/>
          <w:sz w:val="24"/>
          <w:szCs w:val="24"/>
        </w:rPr>
        <w:t>379.8 tonnes</w:t>
      </w:r>
      <w:r w:rsidR="00BB2B61">
        <w:rPr>
          <w:rFonts w:ascii="Times New Roman" w:hAnsi="Times New Roman" w:cs="Times New Roman"/>
          <w:sz w:val="24"/>
          <w:szCs w:val="24"/>
        </w:rPr>
        <w:t xml:space="preserve">. As shown in Graph Three, had the Conference been held in-person-only and the </w:t>
      </w:r>
      <w:r w:rsidR="000B196B">
        <w:rPr>
          <w:rFonts w:ascii="Times New Roman" w:hAnsi="Times New Roman" w:cs="Times New Roman"/>
          <w:sz w:val="24"/>
          <w:szCs w:val="24"/>
        </w:rPr>
        <w:t>64</w:t>
      </w:r>
      <w:r w:rsidR="00BB2B61">
        <w:rPr>
          <w:rFonts w:ascii="Times New Roman" w:hAnsi="Times New Roman" w:cs="Times New Roman"/>
          <w:sz w:val="24"/>
          <w:szCs w:val="24"/>
        </w:rPr>
        <w:t xml:space="preserve"> attendees all attended in-person, </w:t>
      </w:r>
      <w:r w:rsidR="000B196B">
        <w:rPr>
          <w:rFonts w:ascii="Times New Roman" w:hAnsi="Times New Roman" w:cs="Times New Roman"/>
          <w:sz w:val="24"/>
          <w:szCs w:val="24"/>
        </w:rPr>
        <w:t xml:space="preserve">transport emissions would have totalled </w:t>
      </w:r>
      <w:r w:rsidR="000B196B" w:rsidRPr="006E5E4E">
        <w:rPr>
          <w:rFonts w:ascii="Times New Roman" w:hAnsi="Times New Roman" w:cs="Times New Roman"/>
          <w:b/>
          <w:bCs/>
          <w:color w:val="FF0000"/>
          <w:sz w:val="24"/>
          <w:szCs w:val="24"/>
        </w:rPr>
        <w:t>679.5 tonnes</w:t>
      </w:r>
      <w:r w:rsidR="000B196B">
        <w:rPr>
          <w:rFonts w:ascii="Times New Roman" w:hAnsi="Times New Roman" w:cs="Times New Roman"/>
          <w:sz w:val="24"/>
          <w:szCs w:val="24"/>
        </w:rPr>
        <w:t>.</w:t>
      </w:r>
      <w:r w:rsidR="00F04AE2">
        <w:rPr>
          <w:rFonts w:ascii="Times New Roman" w:hAnsi="Times New Roman" w:cs="Times New Roman"/>
          <w:sz w:val="24"/>
          <w:szCs w:val="24"/>
        </w:rPr>
        <w:t xml:space="preserve"> Thus, the estimated transport </w:t>
      </w:r>
      <w:r w:rsidR="00DC3A27">
        <w:rPr>
          <w:rFonts w:ascii="Times New Roman" w:hAnsi="Times New Roman" w:cs="Times New Roman"/>
          <w:sz w:val="24"/>
          <w:szCs w:val="24"/>
        </w:rPr>
        <w:t>reduction</w:t>
      </w:r>
      <w:r w:rsidR="00F04AE2">
        <w:rPr>
          <w:rFonts w:ascii="Times New Roman" w:hAnsi="Times New Roman" w:cs="Times New Roman"/>
          <w:sz w:val="24"/>
          <w:szCs w:val="24"/>
        </w:rPr>
        <w:t xml:space="preserve"> </w:t>
      </w:r>
      <w:r w:rsidR="003D158E">
        <w:rPr>
          <w:rFonts w:ascii="Times New Roman" w:hAnsi="Times New Roman" w:cs="Times New Roman"/>
          <w:sz w:val="24"/>
          <w:szCs w:val="24"/>
        </w:rPr>
        <w:t xml:space="preserve">arising from the hybrid model in terms of actual participants was </w:t>
      </w:r>
      <w:r w:rsidR="00BA6208">
        <w:rPr>
          <w:rFonts w:ascii="Times New Roman" w:hAnsi="Times New Roman" w:cs="Times New Roman"/>
          <w:sz w:val="24"/>
          <w:szCs w:val="24"/>
        </w:rPr>
        <w:t xml:space="preserve">approximately </w:t>
      </w:r>
      <w:r w:rsidR="00BA6208" w:rsidRPr="00DC3A27">
        <w:rPr>
          <w:rFonts w:ascii="Times New Roman" w:hAnsi="Times New Roman" w:cs="Times New Roman"/>
          <w:b/>
          <w:bCs/>
          <w:sz w:val="24"/>
          <w:szCs w:val="24"/>
        </w:rPr>
        <w:t>75%</w:t>
      </w:r>
      <w:r w:rsidR="00BA6208">
        <w:rPr>
          <w:rFonts w:ascii="Times New Roman" w:hAnsi="Times New Roman" w:cs="Times New Roman"/>
          <w:sz w:val="24"/>
          <w:szCs w:val="24"/>
        </w:rPr>
        <w:t xml:space="preserve"> -</w:t>
      </w:r>
      <w:r w:rsidR="00DC3A27">
        <w:rPr>
          <w:rFonts w:ascii="Times New Roman" w:hAnsi="Times New Roman" w:cs="Times New Roman"/>
          <w:sz w:val="24"/>
          <w:szCs w:val="24"/>
        </w:rPr>
        <w:t xml:space="preserve"> </w:t>
      </w:r>
      <w:r w:rsidR="00BA6208">
        <w:rPr>
          <w:rFonts w:ascii="Times New Roman" w:hAnsi="Times New Roman" w:cs="Times New Roman"/>
          <w:sz w:val="24"/>
          <w:szCs w:val="24"/>
        </w:rPr>
        <w:t>a result in line with scientific study</w:t>
      </w:r>
      <w:r w:rsidR="00DB3E9D">
        <w:rPr>
          <w:rFonts w:ascii="Times New Roman" w:hAnsi="Times New Roman" w:cs="Times New Roman"/>
          <w:sz w:val="24"/>
          <w:szCs w:val="24"/>
        </w:rPr>
        <w:t xml:space="preserve"> </w:t>
      </w:r>
      <w:r w:rsidR="006E5E4E">
        <w:rPr>
          <w:rFonts w:ascii="Times New Roman" w:hAnsi="Times New Roman" w:cs="Times New Roman"/>
          <w:sz w:val="24"/>
          <w:szCs w:val="24"/>
        </w:rPr>
        <w:t xml:space="preserve">that </w:t>
      </w:r>
      <w:r w:rsidR="00DB3E9D">
        <w:rPr>
          <w:rFonts w:ascii="Times New Roman" w:hAnsi="Times New Roman" w:cs="Times New Roman"/>
          <w:sz w:val="24"/>
          <w:szCs w:val="24"/>
        </w:rPr>
        <w:t>account</w:t>
      </w:r>
      <w:r w:rsidR="006E5E4E">
        <w:rPr>
          <w:rFonts w:ascii="Times New Roman" w:hAnsi="Times New Roman" w:cs="Times New Roman"/>
          <w:sz w:val="24"/>
          <w:szCs w:val="24"/>
        </w:rPr>
        <w:t>s</w:t>
      </w:r>
      <w:r w:rsidR="00DB3E9D">
        <w:rPr>
          <w:rFonts w:ascii="Times New Roman" w:hAnsi="Times New Roman" w:cs="Times New Roman"/>
          <w:sz w:val="24"/>
          <w:szCs w:val="24"/>
        </w:rPr>
        <w:t xml:space="preserve"> for sophisticated variables, such as regional distribution</w:t>
      </w:r>
      <w:r w:rsidR="00BA6208">
        <w:rPr>
          <w:rFonts w:ascii="Times New Roman" w:hAnsi="Times New Roman" w:cs="Times New Roman"/>
          <w:sz w:val="24"/>
          <w:szCs w:val="24"/>
        </w:rPr>
        <w:t>.</w:t>
      </w:r>
      <w:r w:rsidR="00BA6208">
        <w:rPr>
          <w:rStyle w:val="FootnoteReference"/>
          <w:rFonts w:ascii="Times New Roman" w:hAnsi="Times New Roman" w:cs="Times New Roman"/>
          <w:sz w:val="24"/>
          <w:szCs w:val="24"/>
        </w:rPr>
        <w:footnoteReference w:id="9"/>
      </w:r>
    </w:p>
    <w:p w14:paraId="2AC238F9" w14:textId="6971FF1D" w:rsidR="0022653F" w:rsidRDefault="001135E0" w:rsidP="004856C9">
      <w:pPr>
        <w:jc w:val="both"/>
        <w:rPr>
          <w:rFonts w:ascii="Times New Roman" w:hAnsi="Times New Roman" w:cs="Times New Roman"/>
          <w:sz w:val="24"/>
          <w:szCs w:val="24"/>
        </w:rPr>
      </w:pPr>
      <w:r>
        <w:rPr>
          <w:rFonts w:ascii="Times New Roman" w:hAnsi="Times New Roman" w:cs="Times New Roman"/>
          <w:sz w:val="24"/>
          <w:szCs w:val="24"/>
        </w:rPr>
        <w:t xml:space="preserve">As depicted in Graph Four, </w:t>
      </w:r>
      <w:r w:rsidR="006E5E4E">
        <w:rPr>
          <w:rFonts w:ascii="Times New Roman" w:hAnsi="Times New Roman" w:cs="Times New Roman"/>
          <w:sz w:val="24"/>
          <w:szCs w:val="24"/>
        </w:rPr>
        <w:t>had</w:t>
      </w:r>
      <w:r w:rsidR="000B35D0">
        <w:rPr>
          <w:rFonts w:ascii="Times New Roman" w:hAnsi="Times New Roman" w:cs="Times New Roman"/>
          <w:sz w:val="24"/>
          <w:szCs w:val="24"/>
        </w:rPr>
        <w:t xml:space="preserve"> declared intentions at point of online registration</w:t>
      </w:r>
      <w:r w:rsidR="006E5E4E">
        <w:rPr>
          <w:rFonts w:ascii="Times New Roman" w:hAnsi="Times New Roman" w:cs="Times New Roman"/>
          <w:sz w:val="24"/>
          <w:szCs w:val="24"/>
        </w:rPr>
        <w:t xml:space="preserve"> not changed</w:t>
      </w:r>
      <w:r w:rsidR="0022653F">
        <w:rPr>
          <w:rFonts w:ascii="Times New Roman" w:hAnsi="Times New Roman" w:cs="Times New Roman"/>
          <w:sz w:val="24"/>
          <w:szCs w:val="24"/>
        </w:rPr>
        <w:t>,</w:t>
      </w:r>
      <w:r w:rsidR="000B35D0">
        <w:rPr>
          <w:rFonts w:ascii="Times New Roman" w:hAnsi="Times New Roman" w:cs="Times New Roman"/>
          <w:sz w:val="24"/>
          <w:szCs w:val="24"/>
        </w:rPr>
        <w:t xml:space="preserve"> the emissions resulting from our 52 absentees (</w:t>
      </w:r>
      <w:r w:rsidR="00FE7462">
        <w:rPr>
          <w:rFonts w:ascii="Times New Roman" w:hAnsi="Times New Roman" w:cs="Times New Roman"/>
          <w:sz w:val="24"/>
          <w:szCs w:val="24"/>
        </w:rPr>
        <w:t>29 remote; 23 in-person) would have totalled 215.7 tonnes. Thus,</w:t>
      </w:r>
      <w:r>
        <w:rPr>
          <w:rFonts w:ascii="Times New Roman" w:hAnsi="Times New Roman" w:cs="Times New Roman"/>
          <w:sz w:val="24"/>
          <w:szCs w:val="24"/>
        </w:rPr>
        <w:t xml:space="preserve"> full attendance </w:t>
      </w:r>
      <w:r w:rsidR="007139BC">
        <w:rPr>
          <w:rFonts w:ascii="Times New Roman" w:hAnsi="Times New Roman" w:cs="Times New Roman"/>
          <w:sz w:val="24"/>
          <w:szCs w:val="24"/>
        </w:rPr>
        <w:t xml:space="preserve">– shown in Graph Five, as a combination of </w:t>
      </w:r>
      <w:r w:rsidR="006E5E4E">
        <w:rPr>
          <w:rFonts w:ascii="Times New Roman" w:hAnsi="Times New Roman" w:cs="Times New Roman"/>
          <w:sz w:val="24"/>
          <w:szCs w:val="24"/>
        </w:rPr>
        <w:t xml:space="preserve">the transport used by </w:t>
      </w:r>
      <w:r w:rsidR="007139BC">
        <w:rPr>
          <w:rFonts w:ascii="Times New Roman" w:hAnsi="Times New Roman" w:cs="Times New Roman"/>
          <w:sz w:val="24"/>
          <w:szCs w:val="24"/>
        </w:rPr>
        <w:t xml:space="preserve">actual </w:t>
      </w:r>
      <w:r w:rsidR="006E5E4E">
        <w:rPr>
          <w:rFonts w:ascii="Times New Roman" w:hAnsi="Times New Roman" w:cs="Times New Roman"/>
          <w:sz w:val="24"/>
          <w:szCs w:val="24"/>
        </w:rPr>
        <w:t>attendees</w:t>
      </w:r>
      <w:r w:rsidR="007139BC">
        <w:rPr>
          <w:rFonts w:ascii="Times New Roman" w:hAnsi="Times New Roman" w:cs="Times New Roman"/>
          <w:sz w:val="24"/>
          <w:szCs w:val="24"/>
        </w:rPr>
        <w:t xml:space="preserve"> plus </w:t>
      </w:r>
      <w:r w:rsidR="006E5E4E">
        <w:rPr>
          <w:rFonts w:ascii="Times New Roman" w:hAnsi="Times New Roman" w:cs="Times New Roman"/>
          <w:sz w:val="24"/>
          <w:szCs w:val="24"/>
        </w:rPr>
        <w:t xml:space="preserve">the </w:t>
      </w:r>
      <w:r w:rsidR="007139BC">
        <w:rPr>
          <w:rFonts w:ascii="Times New Roman" w:hAnsi="Times New Roman" w:cs="Times New Roman"/>
          <w:sz w:val="24"/>
          <w:szCs w:val="24"/>
        </w:rPr>
        <w:t xml:space="preserve">declared intentions of absentees – </w:t>
      </w:r>
      <w:r w:rsidR="00842A67">
        <w:rPr>
          <w:rFonts w:ascii="Times New Roman" w:hAnsi="Times New Roman" w:cs="Times New Roman"/>
          <w:sz w:val="24"/>
          <w:szCs w:val="24"/>
        </w:rPr>
        <w:t xml:space="preserve">would have been approximately </w:t>
      </w:r>
      <w:r w:rsidR="008B7BA1">
        <w:rPr>
          <w:rFonts w:ascii="Times New Roman" w:hAnsi="Times New Roman" w:cs="Times New Roman"/>
          <w:sz w:val="24"/>
          <w:szCs w:val="24"/>
        </w:rPr>
        <w:t>500.7</w:t>
      </w:r>
      <w:r w:rsidR="00842A67">
        <w:rPr>
          <w:rFonts w:ascii="Times New Roman" w:hAnsi="Times New Roman" w:cs="Times New Roman"/>
          <w:sz w:val="24"/>
          <w:szCs w:val="24"/>
        </w:rPr>
        <w:t xml:space="preserve"> tonnes.</w:t>
      </w:r>
      <w:r w:rsidR="00CD7450">
        <w:rPr>
          <w:rFonts w:ascii="Times New Roman" w:hAnsi="Times New Roman" w:cs="Times New Roman"/>
          <w:sz w:val="24"/>
          <w:szCs w:val="24"/>
        </w:rPr>
        <w:t xml:space="preserve"> This shows that predicted emissions at the point of prior registration can decline due to absence</w:t>
      </w:r>
      <w:r w:rsidR="00DE3F39">
        <w:rPr>
          <w:rFonts w:ascii="Times New Roman" w:hAnsi="Times New Roman" w:cs="Times New Roman"/>
          <w:sz w:val="24"/>
          <w:szCs w:val="24"/>
        </w:rPr>
        <w:t xml:space="preserve"> or late switch to online attendance</w:t>
      </w:r>
      <w:r w:rsidR="00CD7450">
        <w:rPr>
          <w:rFonts w:ascii="Times New Roman" w:hAnsi="Times New Roman" w:cs="Times New Roman"/>
          <w:sz w:val="24"/>
          <w:szCs w:val="24"/>
        </w:rPr>
        <w:t xml:space="preserve">; in this case, by approximately </w:t>
      </w:r>
      <w:r w:rsidR="00F0069B" w:rsidRPr="002C6193">
        <w:rPr>
          <w:rFonts w:ascii="Times New Roman" w:hAnsi="Times New Roman" w:cs="Times New Roman"/>
          <w:sz w:val="24"/>
          <w:szCs w:val="24"/>
        </w:rPr>
        <w:t>40%</w:t>
      </w:r>
      <w:r w:rsidR="00F0069B">
        <w:rPr>
          <w:rFonts w:ascii="Times New Roman" w:hAnsi="Times New Roman" w:cs="Times New Roman"/>
          <w:sz w:val="24"/>
          <w:szCs w:val="24"/>
        </w:rPr>
        <w:t>.</w:t>
      </w:r>
      <w:r w:rsidR="00CD7450">
        <w:rPr>
          <w:rFonts w:ascii="Times New Roman" w:hAnsi="Times New Roman" w:cs="Times New Roman"/>
          <w:sz w:val="24"/>
          <w:szCs w:val="24"/>
        </w:rPr>
        <w:t xml:space="preserve"> </w:t>
      </w:r>
    </w:p>
    <w:p w14:paraId="5554F2F8" w14:textId="66649BE3" w:rsidR="005570E4" w:rsidRPr="005570E4" w:rsidRDefault="005570E4" w:rsidP="004856C9">
      <w:pPr>
        <w:jc w:val="both"/>
        <w:rPr>
          <w:rFonts w:ascii="Times New Roman" w:hAnsi="Times New Roman" w:cs="Times New Roman"/>
          <w:sz w:val="24"/>
          <w:szCs w:val="24"/>
          <w:u w:val="single"/>
        </w:rPr>
      </w:pPr>
      <w:r>
        <w:rPr>
          <w:rFonts w:ascii="Times New Roman" w:hAnsi="Times New Roman" w:cs="Times New Roman"/>
          <w:sz w:val="24"/>
          <w:szCs w:val="24"/>
          <w:u w:val="single"/>
        </w:rPr>
        <w:t>Footprint Calculation</w:t>
      </w:r>
    </w:p>
    <w:p w14:paraId="303D5810" w14:textId="4F99C5C3" w:rsidR="005570E4" w:rsidRDefault="002A524F" w:rsidP="001A50BA">
      <w:pPr>
        <w:tabs>
          <w:tab w:val="left" w:pos="1260"/>
        </w:tabs>
        <w:jc w:val="both"/>
        <w:rPr>
          <w:rFonts w:ascii="Times New Roman" w:hAnsi="Times New Roman" w:cs="Times New Roman"/>
          <w:sz w:val="24"/>
          <w:szCs w:val="24"/>
        </w:rPr>
      </w:pPr>
      <w:r>
        <w:rPr>
          <w:rFonts w:ascii="Times New Roman" w:hAnsi="Times New Roman" w:cs="Times New Roman"/>
          <w:sz w:val="24"/>
          <w:szCs w:val="24"/>
        </w:rPr>
        <w:t>To our knowledge, th</w:t>
      </w:r>
      <w:r w:rsidR="00AE49E1">
        <w:rPr>
          <w:rFonts w:ascii="Times New Roman" w:hAnsi="Times New Roman" w:cs="Times New Roman"/>
          <w:sz w:val="24"/>
          <w:szCs w:val="24"/>
        </w:rPr>
        <w:t xml:space="preserve">e calculation of a greenhouse gas emissions footprint for law conferences is rare and so we started with a low base of knowledge. </w:t>
      </w:r>
      <w:r>
        <w:rPr>
          <w:rFonts w:ascii="Times New Roman" w:hAnsi="Times New Roman" w:cs="Times New Roman"/>
          <w:sz w:val="24"/>
          <w:szCs w:val="24"/>
        </w:rPr>
        <w:t xml:space="preserve">Having searched for </w:t>
      </w:r>
      <w:r w:rsidR="00AE49E1">
        <w:rPr>
          <w:rFonts w:ascii="Times New Roman" w:hAnsi="Times New Roman" w:cs="Times New Roman"/>
          <w:sz w:val="24"/>
          <w:szCs w:val="24"/>
        </w:rPr>
        <w:t xml:space="preserve">calculators </w:t>
      </w:r>
      <w:r w:rsidR="00085753">
        <w:rPr>
          <w:rFonts w:ascii="Times New Roman" w:hAnsi="Times New Roman" w:cs="Times New Roman"/>
          <w:sz w:val="24"/>
          <w:szCs w:val="24"/>
        </w:rPr>
        <w:t xml:space="preserve">designed for events, the one that seemed to be most suitable </w:t>
      </w:r>
      <w:r w:rsidR="003B2B2D">
        <w:rPr>
          <w:rFonts w:ascii="Times New Roman" w:hAnsi="Times New Roman" w:cs="Times New Roman"/>
          <w:sz w:val="24"/>
          <w:szCs w:val="24"/>
        </w:rPr>
        <w:t xml:space="preserve">was the </w:t>
      </w:r>
      <w:hyperlink r:id="rId10" w:history="1">
        <w:r w:rsidR="003B2B2D" w:rsidRPr="009955BD">
          <w:rPr>
            <w:rStyle w:val="Hyperlink"/>
            <w:rFonts w:ascii="Times New Roman" w:hAnsi="Times New Roman" w:cs="Times New Roman"/>
            <w:sz w:val="24"/>
            <w:szCs w:val="24"/>
          </w:rPr>
          <w:t xml:space="preserve">British Petroleum </w:t>
        </w:r>
        <w:r w:rsidR="009955BD" w:rsidRPr="009955BD">
          <w:rPr>
            <w:rStyle w:val="Hyperlink"/>
            <w:rFonts w:ascii="Times New Roman" w:hAnsi="Times New Roman" w:cs="Times New Roman"/>
            <w:sz w:val="24"/>
            <w:szCs w:val="24"/>
          </w:rPr>
          <w:t>Event Carbon Calculator</w:t>
        </w:r>
      </w:hyperlink>
      <w:r w:rsidR="009955BD">
        <w:rPr>
          <w:rFonts w:ascii="Times New Roman" w:hAnsi="Times New Roman" w:cs="Times New Roman"/>
          <w:sz w:val="24"/>
          <w:szCs w:val="24"/>
        </w:rPr>
        <w:t xml:space="preserve">. This offers an ‘automatic’ calculator by which one inputs numbers of participants, distances and modes of journeys; and a ‘manual’ calculator by which one inputs specific information for each journey. As we had collated </w:t>
      </w:r>
      <w:r w:rsidR="00A676EE">
        <w:rPr>
          <w:rFonts w:ascii="Times New Roman" w:hAnsi="Times New Roman" w:cs="Times New Roman"/>
          <w:sz w:val="24"/>
          <w:szCs w:val="24"/>
        </w:rPr>
        <w:t xml:space="preserve">and verified detailed data from our attendees, we intended to rely upon the manual calculator in the expectation that this would produce the more accurate result. </w:t>
      </w:r>
      <w:r w:rsidR="00085753">
        <w:rPr>
          <w:rFonts w:ascii="Times New Roman" w:hAnsi="Times New Roman" w:cs="Times New Roman"/>
          <w:sz w:val="24"/>
          <w:szCs w:val="24"/>
        </w:rPr>
        <w:t xml:space="preserve"> </w:t>
      </w:r>
      <w:r w:rsidR="001A50BA">
        <w:rPr>
          <w:rFonts w:ascii="Times New Roman" w:hAnsi="Times New Roman" w:cs="Times New Roman"/>
          <w:sz w:val="24"/>
          <w:szCs w:val="24"/>
        </w:rPr>
        <w:tab/>
      </w:r>
    </w:p>
    <w:p w14:paraId="32C0AC95" w14:textId="5B78A7E1" w:rsidR="0080375C" w:rsidRPr="003120B5" w:rsidRDefault="00A676EE" w:rsidP="004856C9">
      <w:pPr>
        <w:jc w:val="both"/>
        <w:rPr>
          <w:rFonts w:ascii="Times New Roman" w:hAnsi="Times New Roman" w:cs="Times New Roman"/>
          <w:sz w:val="24"/>
          <w:szCs w:val="24"/>
        </w:rPr>
      </w:pPr>
      <w:r>
        <w:rPr>
          <w:rFonts w:ascii="Times New Roman" w:hAnsi="Times New Roman" w:cs="Times New Roman"/>
          <w:sz w:val="24"/>
          <w:szCs w:val="24"/>
        </w:rPr>
        <w:t>However, the results generated by both calculators</w:t>
      </w:r>
      <w:r w:rsidR="004F5188">
        <w:rPr>
          <w:rFonts w:ascii="Times New Roman" w:hAnsi="Times New Roman" w:cs="Times New Roman"/>
          <w:sz w:val="24"/>
          <w:szCs w:val="24"/>
        </w:rPr>
        <w:t xml:space="preserve"> on transport (accounting for 99% of emissions)</w:t>
      </w:r>
      <w:r>
        <w:rPr>
          <w:rFonts w:ascii="Times New Roman" w:hAnsi="Times New Roman" w:cs="Times New Roman"/>
          <w:sz w:val="24"/>
          <w:szCs w:val="24"/>
        </w:rPr>
        <w:t xml:space="preserve"> are </w:t>
      </w:r>
      <w:r w:rsidR="00B03B47">
        <w:rPr>
          <w:rFonts w:ascii="Times New Roman" w:hAnsi="Times New Roman" w:cs="Times New Roman"/>
          <w:sz w:val="24"/>
          <w:szCs w:val="24"/>
        </w:rPr>
        <w:t>doubtful</w:t>
      </w:r>
      <w:r w:rsidR="00843763">
        <w:rPr>
          <w:rFonts w:ascii="Times New Roman" w:hAnsi="Times New Roman" w:cs="Times New Roman"/>
          <w:sz w:val="24"/>
          <w:szCs w:val="24"/>
        </w:rPr>
        <w:t xml:space="preserve"> in different respects</w:t>
      </w:r>
      <w:r>
        <w:rPr>
          <w:rFonts w:ascii="Times New Roman" w:hAnsi="Times New Roman" w:cs="Times New Roman"/>
          <w:sz w:val="24"/>
          <w:szCs w:val="24"/>
        </w:rPr>
        <w:t>.</w:t>
      </w:r>
      <w:r w:rsidR="00843763">
        <w:rPr>
          <w:rFonts w:ascii="Times New Roman" w:hAnsi="Times New Roman" w:cs="Times New Roman"/>
          <w:sz w:val="24"/>
          <w:szCs w:val="24"/>
        </w:rPr>
        <w:t xml:space="preserve"> In inputting manual data for train journeys</w:t>
      </w:r>
      <w:r w:rsidR="005F3A36">
        <w:rPr>
          <w:rFonts w:ascii="Times New Roman" w:hAnsi="Times New Roman" w:cs="Times New Roman"/>
          <w:sz w:val="24"/>
          <w:szCs w:val="24"/>
        </w:rPr>
        <w:t xml:space="preserve"> for which we carefully examined each route to input reasonably exact distances</w:t>
      </w:r>
      <w:r w:rsidR="00843763">
        <w:rPr>
          <w:rFonts w:ascii="Times New Roman" w:hAnsi="Times New Roman" w:cs="Times New Roman"/>
          <w:sz w:val="24"/>
          <w:szCs w:val="24"/>
        </w:rPr>
        <w:t xml:space="preserve">, the emissions </w:t>
      </w:r>
      <w:r w:rsidR="0076579F">
        <w:rPr>
          <w:rFonts w:ascii="Times New Roman" w:hAnsi="Times New Roman" w:cs="Times New Roman"/>
          <w:sz w:val="24"/>
          <w:szCs w:val="24"/>
        </w:rPr>
        <w:t xml:space="preserve">for the actual footprint </w:t>
      </w:r>
      <w:r w:rsidR="00843763">
        <w:rPr>
          <w:rFonts w:ascii="Times New Roman" w:hAnsi="Times New Roman" w:cs="Times New Roman"/>
          <w:sz w:val="24"/>
          <w:szCs w:val="24"/>
        </w:rPr>
        <w:t>are</w:t>
      </w:r>
      <w:r w:rsidR="00F93BBA">
        <w:rPr>
          <w:rFonts w:ascii="Times New Roman" w:hAnsi="Times New Roman" w:cs="Times New Roman"/>
          <w:sz w:val="24"/>
          <w:szCs w:val="24"/>
        </w:rPr>
        <w:t xml:space="preserve"> 216.3 tCO2e</w:t>
      </w:r>
      <w:r w:rsidR="005F3A36">
        <w:rPr>
          <w:rFonts w:ascii="Times New Roman" w:hAnsi="Times New Roman" w:cs="Times New Roman"/>
          <w:sz w:val="24"/>
          <w:szCs w:val="24"/>
        </w:rPr>
        <w:t>,</w:t>
      </w:r>
      <w:r w:rsidR="00F93BBA">
        <w:rPr>
          <w:rFonts w:ascii="Times New Roman" w:hAnsi="Times New Roman" w:cs="Times New Roman"/>
          <w:sz w:val="24"/>
          <w:szCs w:val="24"/>
        </w:rPr>
        <w:t xml:space="preserve"> </w:t>
      </w:r>
      <w:r w:rsidR="005F3A36">
        <w:rPr>
          <w:rFonts w:ascii="Times New Roman" w:hAnsi="Times New Roman" w:cs="Times New Roman"/>
          <w:sz w:val="24"/>
          <w:szCs w:val="24"/>
        </w:rPr>
        <w:t>while the automatic calculator reports 17.4 tCO2e.</w:t>
      </w:r>
      <w:r w:rsidR="0076441A">
        <w:rPr>
          <w:rStyle w:val="FootnoteReference"/>
          <w:rFonts w:ascii="Times New Roman" w:hAnsi="Times New Roman" w:cs="Times New Roman"/>
          <w:sz w:val="24"/>
          <w:szCs w:val="24"/>
        </w:rPr>
        <w:footnoteReference w:id="10"/>
      </w:r>
      <w:r w:rsidR="005F3A36">
        <w:rPr>
          <w:rFonts w:ascii="Times New Roman" w:hAnsi="Times New Roman" w:cs="Times New Roman"/>
          <w:sz w:val="24"/>
          <w:szCs w:val="24"/>
        </w:rPr>
        <w:t xml:space="preserve"> </w:t>
      </w:r>
      <w:r w:rsidR="0076579F">
        <w:rPr>
          <w:rFonts w:ascii="Times New Roman" w:hAnsi="Times New Roman" w:cs="Times New Roman"/>
          <w:sz w:val="24"/>
          <w:szCs w:val="24"/>
        </w:rPr>
        <w:t xml:space="preserve">When inputting data for flights </w:t>
      </w:r>
      <w:r w:rsidR="0060232D">
        <w:rPr>
          <w:rFonts w:ascii="Times New Roman" w:hAnsi="Times New Roman" w:cs="Times New Roman"/>
          <w:sz w:val="24"/>
          <w:szCs w:val="24"/>
        </w:rPr>
        <w:t xml:space="preserve">in our fully-in-person counterfactual model, both calculators reported </w:t>
      </w:r>
      <w:r w:rsidR="0080375C">
        <w:rPr>
          <w:rFonts w:ascii="Times New Roman" w:hAnsi="Times New Roman" w:cs="Times New Roman"/>
          <w:sz w:val="24"/>
          <w:szCs w:val="24"/>
        </w:rPr>
        <w:t>bizarrely low</w:t>
      </w:r>
      <w:r w:rsidR="0060232D">
        <w:rPr>
          <w:rFonts w:ascii="Times New Roman" w:hAnsi="Times New Roman" w:cs="Times New Roman"/>
          <w:sz w:val="24"/>
          <w:szCs w:val="24"/>
        </w:rPr>
        <w:t xml:space="preserve"> </w:t>
      </w:r>
      <w:r w:rsidR="008E3AFC">
        <w:rPr>
          <w:rFonts w:ascii="Times New Roman" w:hAnsi="Times New Roman" w:cs="Times New Roman"/>
          <w:sz w:val="24"/>
          <w:szCs w:val="24"/>
        </w:rPr>
        <w:t xml:space="preserve">levels of </w:t>
      </w:r>
      <w:r w:rsidR="0060232D">
        <w:rPr>
          <w:rFonts w:ascii="Times New Roman" w:hAnsi="Times New Roman" w:cs="Times New Roman"/>
          <w:sz w:val="24"/>
          <w:szCs w:val="24"/>
        </w:rPr>
        <w:t>tCO2e</w:t>
      </w:r>
      <w:r w:rsidR="008E3AFC">
        <w:rPr>
          <w:rFonts w:ascii="Times New Roman" w:hAnsi="Times New Roman" w:cs="Times New Roman"/>
          <w:sz w:val="24"/>
          <w:szCs w:val="24"/>
        </w:rPr>
        <w:t xml:space="preserve"> per journey, even for long-haul flights</w:t>
      </w:r>
      <w:r w:rsidR="0060232D">
        <w:rPr>
          <w:rFonts w:ascii="Times New Roman" w:hAnsi="Times New Roman" w:cs="Times New Roman"/>
          <w:sz w:val="24"/>
          <w:szCs w:val="24"/>
        </w:rPr>
        <w:t>.</w:t>
      </w:r>
      <w:r w:rsidR="008E3AFC">
        <w:rPr>
          <w:rFonts w:ascii="Times New Roman" w:hAnsi="Times New Roman" w:cs="Times New Roman"/>
          <w:sz w:val="24"/>
          <w:szCs w:val="24"/>
        </w:rPr>
        <w:t xml:space="preserve"> For automobile journeys, </w:t>
      </w:r>
      <w:r w:rsidR="004F5188">
        <w:rPr>
          <w:rFonts w:ascii="Times New Roman" w:hAnsi="Times New Roman" w:cs="Times New Roman"/>
          <w:sz w:val="24"/>
          <w:szCs w:val="24"/>
        </w:rPr>
        <w:t>discrepancies appeared between the two calculators and</w:t>
      </w:r>
      <w:r w:rsidR="008E3AFC">
        <w:rPr>
          <w:rFonts w:ascii="Times New Roman" w:hAnsi="Times New Roman" w:cs="Times New Roman"/>
          <w:sz w:val="24"/>
          <w:szCs w:val="24"/>
        </w:rPr>
        <w:t xml:space="preserve"> no option exists for electric or plug-in hybrid vehicles.</w:t>
      </w:r>
      <w:r w:rsidR="00144BF4">
        <w:rPr>
          <w:rStyle w:val="FootnoteReference"/>
          <w:rFonts w:ascii="Times New Roman" w:hAnsi="Times New Roman" w:cs="Times New Roman"/>
          <w:sz w:val="24"/>
          <w:szCs w:val="24"/>
        </w:rPr>
        <w:footnoteReference w:id="11"/>
      </w:r>
      <w:r w:rsidR="008E3AFC">
        <w:rPr>
          <w:rFonts w:ascii="Times New Roman" w:hAnsi="Times New Roman" w:cs="Times New Roman"/>
          <w:sz w:val="24"/>
          <w:szCs w:val="24"/>
        </w:rPr>
        <w:t xml:space="preserve"> </w:t>
      </w:r>
      <w:r w:rsidR="008D6DB0">
        <w:rPr>
          <w:rFonts w:ascii="Times New Roman" w:hAnsi="Times New Roman" w:cs="Times New Roman"/>
          <w:sz w:val="24"/>
          <w:szCs w:val="24"/>
        </w:rPr>
        <w:t>As BP does not publish the calculation principles, we have no means of checking the underlying assumptions made about train passenger levels, train fuel sources (i.e. – diesel versus electric), routes, flight passenger levels, aeroplane fuel efficiency</w:t>
      </w:r>
      <w:r w:rsidR="0092075F">
        <w:rPr>
          <w:rFonts w:ascii="Times New Roman" w:hAnsi="Times New Roman" w:cs="Times New Roman"/>
          <w:sz w:val="24"/>
          <w:szCs w:val="24"/>
        </w:rPr>
        <w:t>, etc</w:t>
      </w:r>
      <w:r w:rsidR="0076441A">
        <w:rPr>
          <w:rFonts w:ascii="Times New Roman" w:hAnsi="Times New Roman" w:cs="Times New Roman"/>
          <w:sz w:val="24"/>
          <w:szCs w:val="24"/>
        </w:rPr>
        <w:t>.</w:t>
      </w:r>
      <w:r w:rsidR="004F5188">
        <w:rPr>
          <w:rFonts w:ascii="Times New Roman" w:hAnsi="Times New Roman" w:cs="Times New Roman"/>
          <w:sz w:val="24"/>
          <w:szCs w:val="24"/>
        </w:rPr>
        <w:t xml:space="preserve"> </w:t>
      </w:r>
    </w:p>
    <w:p w14:paraId="35229046" w14:textId="7DFC5B0F" w:rsidR="00C76431" w:rsidRDefault="00C76431" w:rsidP="00C764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registration process, done electronically by EventBrite, in-person registrants were requested to indicate their intended transport plans. These were universally answered with the great majority of registrants declaring an intention to travel by train and 18 registrants intending to travel in 12 automobiles of which 3 were electric, 1 was a hybrid plug-in, 2 were hybrids, 4 were conventionally diesel-fuelled and 2 were conventionally petroleum-fuelled. Postcodes and starting stations were provided to enable the organisers to calculate greenhouse gas emissions, using an event calculator tool that was produced by </w:t>
      </w:r>
      <w:hyperlink r:id="rId11" w:history="1">
        <w:r w:rsidRPr="00AA667D">
          <w:rPr>
            <w:rStyle w:val="Hyperlink"/>
            <w:rFonts w:ascii="Times New Roman" w:hAnsi="Times New Roman" w:cs="Times New Roman"/>
            <w:sz w:val="24"/>
            <w:szCs w:val="24"/>
          </w:rPr>
          <w:t>British Petroleum</w:t>
        </w:r>
      </w:hyperlink>
      <w:r>
        <w:rPr>
          <w:rFonts w:ascii="Times New Roman" w:hAnsi="Times New Roman" w:cs="Times New Roman"/>
          <w:sz w:val="24"/>
          <w:szCs w:val="24"/>
        </w:rPr>
        <w:t xml:space="preserve"> (the irony was not lost on us).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To account for changes to intended travel plans, the paperless registration process on the day saw in-person attendees graciously agree to the organisers’ request to see transport tickets (or the page of the V5C registration describing the make and model of the vehicle) to verify the type of actual transport used on the day as exactly as possible.  </w:t>
      </w:r>
    </w:p>
    <w:p w14:paraId="2BB93074" w14:textId="53C38A76" w:rsidR="001A50BA" w:rsidRDefault="00C76431" w:rsidP="00C76431">
      <w:pPr>
        <w:jc w:val="both"/>
        <w:rPr>
          <w:rFonts w:ascii="Times New Roman" w:hAnsi="Times New Roman" w:cs="Times New Roman"/>
          <w:sz w:val="24"/>
          <w:szCs w:val="24"/>
        </w:rPr>
      </w:pPr>
      <w:r>
        <w:rPr>
          <w:rFonts w:ascii="Times New Roman" w:hAnsi="Times New Roman" w:cs="Times New Roman"/>
          <w:sz w:val="24"/>
          <w:szCs w:val="24"/>
        </w:rPr>
        <w:t>Each participant, including the Executive Dean who opened the Conference, registered in the interest of achieving the most accurate estimate possible.</w:t>
      </w:r>
      <w:r w:rsidR="00D427CD">
        <w:rPr>
          <w:rFonts w:ascii="Times New Roman" w:hAnsi="Times New Roman" w:cs="Times New Roman"/>
          <w:sz w:val="24"/>
          <w:szCs w:val="24"/>
        </w:rPr>
        <w:t xml:space="preserve"> We produced the following: 1) an estimate of the actual emissions generated, based on verified transport; 2) an estimate of the emissions that would have been generated, had we had full attendance, based on verified transport of actual attendees plus declared intentions at registration of absentees; 3) an estimate of </w:t>
      </w:r>
      <w:r w:rsidR="00FB7527">
        <w:rPr>
          <w:rFonts w:ascii="Times New Roman" w:hAnsi="Times New Roman" w:cs="Times New Roman"/>
          <w:sz w:val="24"/>
          <w:szCs w:val="24"/>
        </w:rPr>
        <w:t xml:space="preserve">what the footprint would have been for an in-person-only </w:t>
      </w:r>
      <w:r w:rsidR="007F0B2D">
        <w:rPr>
          <w:rFonts w:ascii="Times New Roman" w:hAnsi="Times New Roman" w:cs="Times New Roman"/>
          <w:sz w:val="24"/>
          <w:szCs w:val="24"/>
        </w:rPr>
        <w:t>conference with full attendance</w:t>
      </w:r>
      <w:r w:rsidR="00FB7527">
        <w:rPr>
          <w:rFonts w:ascii="Times New Roman" w:hAnsi="Times New Roman" w:cs="Times New Roman"/>
          <w:sz w:val="24"/>
          <w:szCs w:val="24"/>
        </w:rPr>
        <w:t xml:space="preserve">, based on the </w:t>
      </w:r>
      <w:r w:rsidR="00E45851">
        <w:rPr>
          <w:rFonts w:ascii="Times New Roman" w:hAnsi="Times New Roman" w:cs="Times New Roman"/>
          <w:sz w:val="24"/>
          <w:szCs w:val="24"/>
        </w:rPr>
        <w:t>e</w:t>
      </w:r>
      <w:r w:rsidR="00FB7527">
        <w:rPr>
          <w:rFonts w:ascii="Times New Roman" w:hAnsi="Times New Roman" w:cs="Times New Roman"/>
          <w:sz w:val="24"/>
          <w:szCs w:val="24"/>
        </w:rPr>
        <w:t>stimate</w:t>
      </w:r>
      <w:r w:rsidR="00E45851">
        <w:rPr>
          <w:rFonts w:ascii="Times New Roman" w:hAnsi="Times New Roman" w:cs="Times New Roman"/>
          <w:sz w:val="24"/>
          <w:szCs w:val="24"/>
        </w:rPr>
        <w:t>d</w:t>
      </w:r>
      <w:r w:rsidR="00FB7527">
        <w:rPr>
          <w:rFonts w:ascii="Times New Roman" w:hAnsi="Times New Roman" w:cs="Times New Roman"/>
          <w:sz w:val="24"/>
          <w:szCs w:val="24"/>
        </w:rPr>
        <w:t xml:space="preserve"> emissions</w:t>
      </w:r>
      <w:r w:rsidR="00E45851">
        <w:rPr>
          <w:rFonts w:ascii="Times New Roman" w:hAnsi="Times New Roman" w:cs="Times New Roman"/>
          <w:sz w:val="24"/>
          <w:szCs w:val="24"/>
        </w:rPr>
        <w:t xml:space="preserve"> of actual attendees plus reasonable assumptions of </w:t>
      </w:r>
      <w:r w:rsidR="007F0B2D">
        <w:rPr>
          <w:rFonts w:ascii="Times New Roman" w:hAnsi="Times New Roman" w:cs="Times New Roman"/>
          <w:sz w:val="24"/>
          <w:szCs w:val="24"/>
        </w:rPr>
        <w:t xml:space="preserve">transport for persons who attended remotely. </w:t>
      </w:r>
      <w:r w:rsidR="00B9772D">
        <w:rPr>
          <w:rFonts w:ascii="Times New Roman" w:hAnsi="Times New Roman" w:cs="Times New Roman"/>
          <w:sz w:val="24"/>
          <w:szCs w:val="24"/>
        </w:rPr>
        <w:t xml:space="preserve">Using the automatic calculator, we assumed local travel to include an average of 8 miles; regional travel an average of 35 miles, including the London Underground; in-country travel an average of 260 miles; short-haul flights to be an average of 2,500 miles; and long-haul flights an average of 5,000 miles. In certain cases, short-haul flights were substituted for trains, such as the Eurostar route from Amsterdam to London. </w:t>
      </w:r>
    </w:p>
    <w:p w14:paraId="0FA3BDE4" w14:textId="629879FB" w:rsidR="00CB68DA" w:rsidRDefault="00CB68DA" w:rsidP="00C76431">
      <w:pPr>
        <w:jc w:val="both"/>
        <w:rPr>
          <w:rFonts w:ascii="Times New Roman" w:hAnsi="Times New Roman" w:cs="Times New Roman"/>
          <w:sz w:val="24"/>
          <w:szCs w:val="24"/>
        </w:rPr>
      </w:pPr>
      <w:r>
        <w:rPr>
          <w:rFonts w:ascii="Times New Roman" w:hAnsi="Times New Roman" w:cs="Times New Roman"/>
          <w:sz w:val="24"/>
          <w:szCs w:val="24"/>
        </w:rPr>
        <w:t xml:space="preserve">We also attempted to locate other calculators for comparison. No official calculator exists, whether from </w:t>
      </w:r>
      <w:r w:rsidR="00452144">
        <w:rPr>
          <w:rFonts w:ascii="Times New Roman" w:hAnsi="Times New Roman" w:cs="Times New Roman"/>
          <w:sz w:val="24"/>
          <w:szCs w:val="24"/>
        </w:rPr>
        <w:t xml:space="preserve">the Government or UN sources. Other free online calculators offered even more inconsistent and sporadic results than did the BP calculator, which appears to be the most reliable. Overall, there is a lack of transparency amongst producers of these tools, including from BP, as to the principles and assumptions on which they are based. This is especially problematic when trying to offset emissions through their schemes. </w:t>
      </w:r>
    </w:p>
    <w:p w14:paraId="36B4F9E1" w14:textId="70FE2237" w:rsidR="00817F10" w:rsidRPr="00817F10" w:rsidRDefault="00817F10" w:rsidP="004856C9">
      <w:pPr>
        <w:jc w:val="both"/>
        <w:rPr>
          <w:rFonts w:ascii="Times New Roman" w:hAnsi="Times New Roman" w:cs="Times New Roman"/>
          <w:sz w:val="24"/>
          <w:szCs w:val="24"/>
          <w:u w:val="single"/>
        </w:rPr>
      </w:pPr>
      <w:r>
        <w:rPr>
          <w:rFonts w:ascii="Times New Roman" w:hAnsi="Times New Roman" w:cs="Times New Roman"/>
          <w:sz w:val="24"/>
          <w:szCs w:val="24"/>
          <w:u w:val="single"/>
        </w:rPr>
        <w:t>Single-Day Model</w:t>
      </w:r>
    </w:p>
    <w:p w14:paraId="7A159DFA" w14:textId="135CF2E7" w:rsidR="00EA6875" w:rsidRDefault="00B37E8A" w:rsidP="004856C9">
      <w:pPr>
        <w:jc w:val="both"/>
        <w:rPr>
          <w:rFonts w:ascii="Times New Roman" w:hAnsi="Times New Roman" w:cs="Times New Roman"/>
          <w:sz w:val="24"/>
          <w:szCs w:val="24"/>
        </w:rPr>
      </w:pPr>
      <w:r>
        <w:rPr>
          <w:rFonts w:ascii="Times New Roman" w:hAnsi="Times New Roman" w:cs="Times New Roman"/>
          <w:sz w:val="24"/>
          <w:szCs w:val="24"/>
        </w:rPr>
        <w:t xml:space="preserve">The organisers designed the </w:t>
      </w:r>
      <w:hyperlink r:id="rId12" w:history="1">
        <w:r w:rsidRPr="00D146D7">
          <w:rPr>
            <w:rStyle w:val="Hyperlink"/>
            <w:rFonts w:ascii="Times New Roman" w:hAnsi="Times New Roman" w:cs="Times New Roman"/>
            <w:sz w:val="24"/>
            <w:szCs w:val="24"/>
          </w:rPr>
          <w:t>programme</w:t>
        </w:r>
      </w:hyperlink>
      <w:r>
        <w:rPr>
          <w:rFonts w:ascii="Times New Roman" w:hAnsi="Times New Roman" w:cs="Times New Roman"/>
          <w:sz w:val="24"/>
          <w:szCs w:val="24"/>
        </w:rPr>
        <w:t xml:space="preserve"> to fit the </w:t>
      </w:r>
      <w:r w:rsidR="00D146D7">
        <w:rPr>
          <w:rFonts w:ascii="Times New Roman" w:hAnsi="Times New Roman" w:cs="Times New Roman"/>
          <w:sz w:val="24"/>
          <w:szCs w:val="24"/>
        </w:rPr>
        <w:t>in-person element of the conference into a single day, 09:00 to 17:30hrs. This was not only to reduce emissions resulting from overnight hotel stays</w:t>
      </w:r>
      <w:r w:rsidR="00F0069B">
        <w:rPr>
          <w:rStyle w:val="FootnoteReference"/>
          <w:rFonts w:ascii="Times New Roman" w:hAnsi="Times New Roman" w:cs="Times New Roman"/>
          <w:sz w:val="24"/>
          <w:szCs w:val="24"/>
        </w:rPr>
        <w:footnoteReference w:id="13"/>
      </w:r>
      <w:r w:rsidR="00D146D7">
        <w:rPr>
          <w:rFonts w:ascii="Times New Roman" w:hAnsi="Times New Roman" w:cs="Times New Roman"/>
          <w:sz w:val="24"/>
          <w:szCs w:val="24"/>
        </w:rPr>
        <w:t xml:space="preserve"> but also to make the conference attractive to attendees by facilitating a day commute from locations in the South-East of England or a single night of accommodation</w:t>
      </w:r>
      <w:r w:rsidR="00937DF1">
        <w:rPr>
          <w:rFonts w:ascii="Times New Roman" w:hAnsi="Times New Roman" w:cs="Times New Roman"/>
          <w:sz w:val="24"/>
          <w:szCs w:val="24"/>
        </w:rPr>
        <w:t xml:space="preserve"> from other </w:t>
      </w:r>
      <w:r w:rsidR="008356D1">
        <w:rPr>
          <w:rFonts w:ascii="Times New Roman" w:hAnsi="Times New Roman" w:cs="Times New Roman"/>
          <w:sz w:val="24"/>
          <w:szCs w:val="24"/>
        </w:rPr>
        <w:t>locations</w:t>
      </w:r>
      <w:r w:rsidR="00D146D7">
        <w:rPr>
          <w:rFonts w:ascii="Times New Roman" w:hAnsi="Times New Roman" w:cs="Times New Roman"/>
          <w:sz w:val="24"/>
          <w:szCs w:val="24"/>
        </w:rPr>
        <w:t xml:space="preserve">. </w:t>
      </w:r>
      <w:r w:rsidR="00A92CE7">
        <w:rPr>
          <w:rFonts w:ascii="Times New Roman" w:hAnsi="Times New Roman" w:cs="Times New Roman"/>
          <w:sz w:val="24"/>
          <w:szCs w:val="24"/>
        </w:rPr>
        <w:t xml:space="preserve">To avoid </w:t>
      </w:r>
      <w:r w:rsidR="00F0069B">
        <w:rPr>
          <w:rFonts w:ascii="Times New Roman" w:hAnsi="Times New Roman" w:cs="Times New Roman"/>
          <w:sz w:val="24"/>
          <w:szCs w:val="24"/>
        </w:rPr>
        <w:t>dropping</w:t>
      </w:r>
      <w:r w:rsidR="00A92CE7">
        <w:rPr>
          <w:rFonts w:ascii="Times New Roman" w:hAnsi="Times New Roman" w:cs="Times New Roman"/>
          <w:sz w:val="24"/>
          <w:szCs w:val="24"/>
        </w:rPr>
        <w:t xml:space="preserve"> one of the five panels, the organisers designated the first panel as </w:t>
      </w:r>
      <w:r w:rsidR="00F0069B">
        <w:rPr>
          <w:rFonts w:ascii="Times New Roman" w:hAnsi="Times New Roman" w:cs="Times New Roman"/>
          <w:sz w:val="24"/>
          <w:szCs w:val="24"/>
        </w:rPr>
        <w:t>a virtual one and hosted it in the same theatre</w:t>
      </w:r>
      <w:r w:rsidR="00A92CE7">
        <w:rPr>
          <w:rFonts w:ascii="Times New Roman" w:hAnsi="Times New Roman" w:cs="Times New Roman"/>
          <w:sz w:val="24"/>
          <w:szCs w:val="24"/>
        </w:rPr>
        <w:t>.</w:t>
      </w:r>
      <w:r w:rsidR="00F0069B">
        <w:rPr>
          <w:rStyle w:val="FootnoteReference"/>
          <w:rFonts w:ascii="Times New Roman" w:hAnsi="Times New Roman" w:cs="Times New Roman"/>
          <w:sz w:val="24"/>
          <w:szCs w:val="24"/>
        </w:rPr>
        <w:footnoteReference w:id="14"/>
      </w:r>
      <w:r w:rsidR="00A92CE7">
        <w:rPr>
          <w:rFonts w:ascii="Times New Roman" w:hAnsi="Times New Roman" w:cs="Times New Roman"/>
          <w:sz w:val="24"/>
          <w:szCs w:val="24"/>
        </w:rPr>
        <w:t xml:space="preserve"> While that panel was, inevitably</w:t>
      </w:r>
      <w:r w:rsidR="00162150">
        <w:rPr>
          <w:rFonts w:ascii="Times New Roman" w:hAnsi="Times New Roman" w:cs="Times New Roman"/>
          <w:sz w:val="24"/>
          <w:szCs w:val="24"/>
        </w:rPr>
        <w:t xml:space="preserve"> due to the evening hour of a workday</w:t>
      </w:r>
      <w:r w:rsidR="00A92CE7">
        <w:rPr>
          <w:rFonts w:ascii="Times New Roman" w:hAnsi="Times New Roman" w:cs="Times New Roman"/>
          <w:sz w:val="24"/>
          <w:szCs w:val="24"/>
        </w:rPr>
        <w:t xml:space="preserve">, less well-attended than the others, it was nonetheless an </w:t>
      </w:r>
      <w:r w:rsidR="00A92CE7">
        <w:rPr>
          <w:rFonts w:ascii="Times New Roman" w:hAnsi="Times New Roman" w:cs="Times New Roman"/>
          <w:sz w:val="24"/>
          <w:szCs w:val="24"/>
        </w:rPr>
        <w:lastRenderedPageBreak/>
        <w:t xml:space="preserve">excellent one and enabled </w:t>
      </w:r>
      <w:r w:rsidR="00EA6875">
        <w:rPr>
          <w:rFonts w:ascii="Times New Roman" w:hAnsi="Times New Roman" w:cs="Times New Roman"/>
          <w:sz w:val="24"/>
          <w:szCs w:val="24"/>
        </w:rPr>
        <w:t>an additional panel to be arranged with minimal inconvenience and time commitment from delegates</w:t>
      </w:r>
      <w:r w:rsidR="00C00281">
        <w:rPr>
          <w:rFonts w:ascii="Times New Roman" w:hAnsi="Times New Roman" w:cs="Times New Roman"/>
          <w:sz w:val="24"/>
          <w:szCs w:val="24"/>
        </w:rPr>
        <w:t xml:space="preserve"> while preserving the single-day model</w:t>
      </w:r>
      <w:r w:rsidR="00EA6875">
        <w:rPr>
          <w:rFonts w:ascii="Times New Roman" w:hAnsi="Times New Roman" w:cs="Times New Roman"/>
          <w:sz w:val="24"/>
          <w:szCs w:val="24"/>
        </w:rPr>
        <w:t xml:space="preserve">. </w:t>
      </w:r>
    </w:p>
    <w:p w14:paraId="40358731" w14:textId="6CFCCF21" w:rsidR="00452144" w:rsidRPr="00452144" w:rsidRDefault="00C00281" w:rsidP="004856C9">
      <w:pPr>
        <w:jc w:val="both"/>
        <w:rPr>
          <w:rFonts w:ascii="Times New Roman" w:hAnsi="Times New Roman" w:cs="Times New Roman"/>
          <w:sz w:val="24"/>
          <w:szCs w:val="24"/>
          <w:lang w:val="en-US"/>
        </w:rPr>
      </w:pPr>
      <w:r>
        <w:rPr>
          <w:rFonts w:ascii="Times New Roman" w:hAnsi="Times New Roman" w:cs="Times New Roman"/>
          <w:sz w:val="24"/>
          <w:szCs w:val="24"/>
        </w:rPr>
        <w:t xml:space="preserve">The </w:t>
      </w:r>
      <w:r w:rsidR="00F0069B">
        <w:rPr>
          <w:rFonts w:ascii="Times New Roman" w:hAnsi="Times New Roman" w:cs="Times New Roman"/>
          <w:sz w:val="24"/>
          <w:szCs w:val="24"/>
        </w:rPr>
        <w:t xml:space="preserve">fact that we had the </w:t>
      </w:r>
      <w:r>
        <w:rPr>
          <w:rFonts w:ascii="Times New Roman" w:hAnsi="Times New Roman" w:cs="Times New Roman"/>
          <w:sz w:val="24"/>
          <w:szCs w:val="24"/>
        </w:rPr>
        <w:t xml:space="preserve">‘remote option’ </w:t>
      </w:r>
      <w:r w:rsidR="00F0069B">
        <w:rPr>
          <w:rFonts w:ascii="Times New Roman" w:hAnsi="Times New Roman" w:cs="Times New Roman"/>
          <w:sz w:val="24"/>
          <w:szCs w:val="24"/>
        </w:rPr>
        <w:t xml:space="preserve">at our disposal </w:t>
      </w:r>
      <w:r>
        <w:rPr>
          <w:rFonts w:ascii="Times New Roman" w:hAnsi="Times New Roman" w:cs="Times New Roman"/>
          <w:sz w:val="24"/>
          <w:szCs w:val="24"/>
        </w:rPr>
        <w:t xml:space="preserve">brought major benefits not only for emissions reduction </w:t>
      </w:r>
      <w:r w:rsidR="003F44F8">
        <w:rPr>
          <w:rFonts w:ascii="Times New Roman" w:hAnsi="Times New Roman" w:cs="Times New Roman"/>
          <w:sz w:val="24"/>
          <w:szCs w:val="24"/>
        </w:rPr>
        <w:t xml:space="preserve">(transport and hotels) </w:t>
      </w:r>
      <w:r>
        <w:rPr>
          <w:rFonts w:ascii="Times New Roman" w:hAnsi="Times New Roman" w:cs="Times New Roman"/>
          <w:sz w:val="24"/>
          <w:szCs w:val="24"/>
        </w:rPr>
        <w:t>but also conference organisation. Invited and selected speakers</w:t>
      </w:r>
      <w:r w:rsidR="00FE147F">
        <w:rPr>
          <w:rFonts w:ascii="Times New Roman" w:hAnsi="Times New Roman" w:cs="Times New Roman"/>
          <w:sz w:val="24"/>
          <w:szCs w:val="24"/>
        </w:rPr>
        <w:t xml:space="preserve"> based abroad</w:t>
      </w:r>
      <w:r>
        <w:rPr>
          <w:rFonts w:ascii="Times New Roman" w:hAnsi="Times New Roman" w:cs="Times New Roman"/>
          <w:sz w:val="24"/>
          <w:szCs w:val="24"/>
        </w:rPr>
        <w:t xml:space="preserve"> were able to take part remotely</w:t>
      </w:r>
      <w:r w:rsidR="00FE147F">
        <w:rPr>
          <w:rFonts w:ascii="Times New Roman" w:hAnsi="Times New Roman" w:cs="Times New Roman"/>
          <w:sz w:val="24"/>
          <w:szCs w:val="24"/>
        </w:rPr>
        <w:t xml:space="preserve"> at minimal expense</w:t>
      </w:r>
      <w:r>
        <w:rPr>
          <w:rFonts w:ascii="Times New Roman" w:hAnsi="Times New Roman" w:cs="Times New Roman"/>
          <w:sz w:val="24"/>
          <w:szCs w:val="24"/>
        </w:rPr>
        <w:t>, even with time differences</w:t>
      </w:r>
      <w:r w:rsidR="00FE147F">
        <w:rPr>
          <w:rFonts w:ascii="Times New Roman" w:hAnsi="Times New Roman" w:cs="Times New Roman"/>
          <w:sz w:val="24"/>
          <w:szCs w:val="24"/>
        </w:rPr>
        <w:t xml:space="preserve">. In </w:t>
      </w:r>
      <w:r w:rsidR="00DE42F0">
        <w:rPr>
          <w:rFonts w:ascii="Times New Roman" w:hAnsi="Times New Roman" w:cs="Times New Roman"/>
          <w:sz w:val="24"/>
          <w:szCs w:val="24"/>
        </w:rPr>
        <w:t xml:space="preserve">stark </w:t>
      </w:r>
      <w:r w:rsidR="00FE147F">
        <w:rPr>
          <w:rFonts w:ascii="Times New Roman" w:hAnsi="Times New Roman" w:cs="Times New Roman"/>
          <w:sz w:val="24"/>
          <w:szCs w:val="24"/>
        </w:rPr>
        <w:t xml:space="preserve">contrast to in-person conferences, there was but a single withdrawal by a speaker </w:t>
      </w:r>
      <w:r w:rsidR="0012030D">
        <w:rPr>
          <w:rFonts w:ascii="Times New Roman" w:hAnsi="Times New Roman" w:cs="Times New Roman"/>
          <w:sz w:val="24"/>
          <w:szCs w:val="24"/>
        </w:rPr>
        <w:t xml:space="preserve">– </w:t>
      </w:r>
      <w:r w:rsidR="00FE147F">
        <w:rPr>
          <w:rFonts w:ascii="Times New Roman" w:hAnsi="Times New Roman" w:cs="Times New Roman"/>
          <w:sz w:val="24"/>
          <w:szCs w:val="24"/>
        </w:rPr>
        <w:t xml:space="preserve">and that for a medical emergency. Another speaker, again for medical reasons, was compelled to switch to remote mode. The aforementioned </w:t>
      </w:r>
      <w:r w:rsidR="00511DC3">
        <w:rPr>
          <w:rFonts w:ascii="Times New Roman" w:hAnsi="Times New Roman" w:cs="Times New Roman"/>
          <w:sz w:val="24"/>
          <w:szCs w:val="24"/>
        </w:rPr>
        <w:t>late-</w:t>
      </w:r>
      <w:r w:rsidR="00FE147F">
        <w:rPr>
          <w:rFonts w:ascii="Times New Roman" w:hAnsi="Times New Roman" w:cs="Times New Roman"/>
          <w:sz w:val="24"/>
          <w:szCs w:val="24"/>
        </w:rPr>
        <w:t>visa problem is</w:t>
      </w:r>
      <w:r w:rsidR="00511DC3">
        <w:rPr>
          <w:rFonts w:ascii="Times New Roman" w:hAnsi="Times New Roman" w:cs="Times New Roman"/>
          <w:sz w:val="24"/>
          <w:szCs w:val="24"/>
        </w:rPr>
        <w:t xml:space="preserve"> a commonplace one,</w:t>
      </w:r>
      <w:r w:rsidR="00FE147F">
        <w:rPr>
          <w:rFonts w:ascii="Times New Roman" w:hAnsi="Times New Roman" w:cs="Times New Roman"/>
          <w:sz w:val="24"/>
          <w:szCs w:val="24"/>
        </w:rPr>
        <w:t xml:space="preserve"> as are cancelled </w:t>
      </w:r>
      <w:r w:rsidR="00E74DAC">
        <w:rPr>
          <w:rFonts w:ascii="Times New Roman" w:hAnsi="Times New Roman" w:cs="Times New Roman"/>
          <w:sz w:val="24"/>
          <w:szCs w:val="24"/>
        </w:rPr>
        <w:t>and</w:t>
      </w:r>
      <w:r w:rsidR="00FE147F">
        <w:rPr>
          <w:rFonts w:ascii="Times New Roman" w:hAnsi="Times New Roman" w:cs="Times New Roman"/>
          <w:sz w:val="24"/>
          <w:szCs w:val="24"/>
        </w:rPr>
        <w:t xml:space="preserve"> delayed flights. </w:t>
      </w:r>
      <w:r w:rsidR="00E74DAC">
        <w:rPr>
          <w:rFonts w:ascii="Times New Roman" w:hAnsi="Times New Roman" w:cs="Times New Roman"/>
          <w:sz w:val="24"/>
          <w:szCs w:val="24"/>
        </w:rPr>
        <w:t>Remote</w:t>
      </w:r>
      <w:r w:rsidR="00523196">
        <w:rPr>
          <w:rFonts w:ascii="Times New Roman" w:hAnsi="Times New Roman" w:cs="Times New Roman"/>
          <w:sz w:val="24"/>
          <w:szCs w:val="24"/>
        </w:rPr>
        <w:t xml:space="preserve"> participation </w:t>
      </w:r>
      <w:r w:rsidR="00E74DAC">
        <w:rPr>
          <w:rFonts w:ascii="Times New Roman" w:hAnsi="Times New Roman" w:cs="Times New Roman"/>
          <w:sz w:val="24"/>
          <w:szCs w:val="24"/>
        </w:rPr>
        <w:t xml:space="preserve">also </w:t>
      </w:r>
      <w:r w:rsidR="00BA6208">
        <w:rPr>
          <w:rFonts w:ascii="Times New Roman" w:hAnsi="Times New Roman" w:cs="Times New Roman"/>
          <w:sz w:val="24"/>
          <w:szCs w:val="24"/>
        </w:rPr>
        <w:t>facilitated</w:t>
      </w:r>
      <w:r w:rsidR="00523196">
        <w:rPr>
          <w:rFonts w:ascii="Times New Roman" w:hAnsi="Times New Roman" w:cs="Times New Roman"/>
          <w:sz w:val="24"/>
          <w:szCs w:val="24"/>
        </w:rPr>
        <w:t xml:space="preserve"> budgetary management</w:t>
      </w:r>
      <w:r w:rsidR="006451DE">
        <w:rPr>
          <w:rFonts w:ascii="Times New Roman" w:hAnsi="Times New Roman" w:cs="Times New Roman"/>
          <w:sz w:val="24"/>
          <w:szCs w:val="24"/>
        </w:rPr>
        <w:t xml:space="preserve">: </w:t>
      </w:r>
      <w:r w:rsidR="00E74DAC">
        <w:rPr>
          <w:rFonts w:ascii="Times New Roman" w:hAnsi="Times New Roman" w:cs="Times New Roman"/>
          <w:sz w:val="24"/>
          <w:szCs w:val="24"/>
        </w:rPr>
        <w:t xml:space="preserve">in the end, </w:t>
      </w:r>
      <w:r w:rsidR="006451DE">
        <w:rPr>
          <w:rFonts w:ascii="Times New Roman" w:hAnsi="Times New Roman" w:cs="Times New Roman"/>
          <w:sz w:val="24"/>
          <w:szCs w:val="24"/>
        </w:rPr>
        <w:t>only four hotel nights were booked on the conference budget</w:t>
      </w:r>
      <w:r w:rsidR="00A62234">
        <w:rPr>
          <w:rFonts w:ascii="Times New Roman" w:hAnsi="Times New Roman" w:cs="Times New Roman"/>
          <w:sz w:val="24"/>
          <w:szCs w:val="24"/>
        </w:rPr>
        <w:t xml:space="preserve">, to say nothing of </w:t>
      </w:r>
      <w:r w:rsidR="00E74DAC">
        <w:rPr>
          <w:rFonts w:ascii="Times New Roman" w:hAnsi="Times New Roman" w:cs="Times New Roman"/>
          <w:sz w:val="24"/>
          <w:szCs w:val="24"/>
        </w:rPr>
        <w:t xml:space="preserve">subsidised </w:t>
      </w:r>
      <w:r w:rsidR="00A62234">
        <w:rPr>
          <w:rFonts w:ascii="Times New Roman" w:hAnsi="Times New Roman" w:cs="Times New Roman"/>
          <w:sz w:val="24"/>
          <w:szCs w:val="24"/>
        </w:rPr>
        <w:t>transport for invited speakers</w:t>
      </w:r>
      <w:r w:rsidR="006451DE">
        <w:rPr>
          <w:rFonts w:ascii="Times New Roman" w:hAnsi="Times New Roman" w:cs="Times New Roman"/>
          <w:sz w:val="24"/>
          <w:szCs w:val="24"/>
        </w:rPr>
        <w:t xml:space="preserve">. </w:t>
      </w:r>
      <w:r w:rsidR="00E74DAC">
        <w:rPr>
          <w:rFonts w:ascii="Times New Roman" w:hAnsi="Times New Roman" w:cs="Times New Roman"/>
          <w:sz w:val="24"/>
          <w:szCs w:val="24"/>
        </w:rPr>
        <w:t xml:space="preserve">This, in turn, enabled us to subsidise tickets – particularly the free conference dinner – and to select more expensive or luxurious options for </w:t>
      </w:r>
      <w:r w:rsidR="00162150">
        <w:rPr>
          <w:rFonts w:ascii="Times New Roman" w:hAnsi="Times New Roman" w:cs="Times New Roman"/>
          <w:sz w:val="24"/>
          <w:szCs w:val="24"/>
        </w:rPr>
        <w:t>hospitality</w:t>
      </w:r>
      <w:r w:rsidR="00E74DAC">
        <w:rPr>
          <w:rFonts w:ascii="Times New Roman" w:hAnsi="Times New Roman" w:cs="Times New Roman"/>
          <w:sz w:val="24"/>
          <w:szCs w:val="24"/>
        </w:rPr>
        <w:t xml:space="preserve">. </w:t>
      </w:r>
    </w:p>
    <w:p w14:paraId="79D7F19A" w14:textId="2507A38C" w:rsidR="00B87D23" w:rsidRPr="00B87D23" w:rsidRDefault="00B87D23" w:rsidP="004856C9">
      <w:pPr>
        <w:jc w:val="both"/>
        <w:rPr>
          <w:rFonts w:ascii="Times New Roman" w:hAnsi="Times New Roman" w:cs="Times New Roman"/>
          <w:sz w:val="24"/>
          <w:szCs w:val="24"/>
          <w:u w:val="single"/>
        </w:rPr>
      </w:pPr>
      <w:r>
        <w:rPr>
          <w:rFonts w:ascii="Times New Roman" w:hAnsi="Times New Roman" w:cs="Times New Roman"/>
          <w:sz w:val="24"/>
          <w:szCs w:val="24"/>
          <w:u w:val="single"/>
        </w:rPr>
        <w:t>Sustainable Menus</w:t>
      </w:r>
    </w:p>
    <w:p w14:paraId="5CEDEB52" w14:textId="559917BB" w:rsidR="00A04AC6" w:rsidRDefault="00A04AC6" w:rsidP="004856C9">
      <w:pPr>
        <w:jc w:val="both"/>
        <w:rPr>
          <w:rFonts w:ascii="Times New Roman" w:hAnsi="Times New Roman" w:cs="Times New Roman"/>
          <w:sz w:val="24"/>
          <w:szCs w:val="24"/>
        </w:rPr>
      </w:pPr>
      <w:r>
        <w:rPr>
          <w:rFonts w:ascii="Times New Roman" w:hAnsi="Times New Roman" w:cs="Times New Roman"/>
          <w:sz w:val="24"/>
          <w:szCs w:val="24"/>
        </w:rPr>
        <w:t>We strove for a</w:t>
      </w:r>
      <w:r w:rsidR="006451DE">
        <w:rPr>
          <w:rFonts w:ascii="Times New Roman" w:hAnsi="Times New Roman" w:cs="Times New Roman"/>
          <w:sz w:val="24"/>
          <w:szCs w:val="24"/>
        </w:rPr>
        <w:t xml:space="preserve"> paperless environment</w:t>
      </w:r>
      <w:r>
        <w:rPr>
          <w:rFonts w:ascii="Times New Roman" w:hAnsi="Times New Roman" w:cs="Times New Roman"/>
          <w:sz w:val="24"/>
          <w:szCs w:val="24"/>
        </w:rPr>
        <w:t xml:space="preserve">: </w:t>
      </w:r>
      <w:r w:rsidR="006451DE">
        <w:rPr>
          <w:rFonts w:ascii="Times New Roman" w:hAnsi="Times New Roman" w:cs="Times New Roman"/>
          <w:sz w:val="24"/>
          <w:szCs w:val="24"/>
        </w:rPr>
        <w:t xml:space="preserve">no conference bags </w:t>
      </w:r>
      <w:r w:rsidR="002F1F4A">
        <w:rPr>
          <w:rFonts w:ascii="Times New Roman" w:hAnsi="Times New Roman" w:cs="Times New Roman"/>
          <w:sz w:val="24"/>
          <w:szCs w:val="24"/>
        </w:rPr>
        <w:t xml:space="preserve">were produced (usually </w:t>
      </w:r>
      <w:r w:rsidR="006451DE">
        <w:rPr>
          <w:rFonts w:ascii="Times New Roman" w:hAnsi="Times New Roman" w:cs="Times New Roman"/>
          <w:sz w:val="24"/>
          <w:szCs w:val="24"/>
        </w:rPr>
        <w:t>destined for the bin</w:t>
      </w:r>
      <w:r w:rsidR="002F1F4A">
        <w:rPr>
          <w:rFonts w:ascii="Times New Roman" w:hAnsi="Times New Roman" w:cs="Times New Roman"/>
          <w:sz w:val="24"/>
          <w:szCs w:val="24"/>
        </w:rPr>
        <w:t>, in my experience)</w:t>
      </w:r>
      <w:r w:rsidR="006451DE">
        <w:rPr>
          <w:rFonts w:ascii="Times New Roman" w:hAnsi="Times New Roman" w:cs="Times New Roman"/>
          <w:sz w:val="24"/>
          <w:szCs w:val="24"/>
        </w:rPr>
        <w:t xml:space="preserve"> </w:t>
      </w:r>
      <w:r w:rsidR="00884CDE">
        <w:rPr>
          <w:rFonts w:ascii="Times New Roman" w:hAnsi="Times New Roman" w:cs="Times New Roman"/>
          <w:sz w:val="24"/>
          <w:szCs w:val="24"/>
        </w:rPr>
        <w:t xml:space="preserve">while book stands were </w:t>
      </w:r>
      <w:r w:rsidR="008356D1">
        <w:rPr>
          <w:rFonts w:ascii="Times New Roman" w:hAnsi="Times New Roman" w:cs="Times New Roman"/>
          <w:sz w:val="24"/>
          <w:szCs w:val="24"/>
        </w:rPr>
        <w:t>ditched</w:t>
      </w:r>
      <w:r w:rsidR="00884CDE">
        <w:rPr>
          <w:rFonts w:ascii="Times New Roman" w:hAnsi="Times New Roman" w:cs="Times New Roman"/>
          <w:sz w:val="24"/>
          <w:szCs w:val="24"/>
        </w:rPr>
        <w:t xml:space="preserve"> in favour of virtual flyers, mini-sites and Zoom consultations by our </w:t>
      </w:r>
      <w:r w:rsidR="002F4ED6">
        <w:rPr>
          <w:rFonts w:ascii="Times New Roman" w:hAnsi="Times New Roman" w:cs="Times New Roman"/>
          <w:sz w:val="24"/>
          <w:szCs w:val="24"/>
        </w:rPr>
        <w:t>publisher sponsors</w:t>
      </w:r>
      <w:r w:rsidR="002F1F4A">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002F4ED6">
        <w:rPr>
          <w:rFonts w:ascii="Times New Roman" w:hAnsi="Times New Roman" w:cs="Times New Roman"/>
          <w:sz w:val="24"/>
          <w:szCs w:val="24"/>
        </w:rPr>
        <w:t xml:space="preserve"> </w:t>
      </w:r>
      <w:r>
        <w:rPr>
          <w:rFonts w:ascii="Times New Roman" w:hAnsi="Times New Roman" w:cs="Times New Roman"/>
          <w:sz w:val="24"/>
          <w:szCs w:val="24"/>
        </w:rPr>
        <w:t>C</w:t>
      </w:r>
      <w:r w:rsidR="00BB1AE7">
        <w:rPr>
          <w:rFonts w:ascii="Times New Roman" w:hAnsi="Times New Roman" w:cs="Times New Roman"/>
          <w:sz w:val="24"/>
          <w:szCs w:val="24"/>
        </w:rPr>
        <w:t>atering for breakfast, lunch and two tea breaks was esti</w:t>
      </w:r>
      <w:r>
        <w:rPr>
          <w:rFonts w:ascii="Times New Roman" w:hAnsi="Times New Roman" w:cs="Times New Roman"/>
          <w:sz w:val="24"/>
          <w:szCs w:val="24"/>
        </w:rPr>
        <w:t xml:space="preserve">mated </w:t>
      </w:r>
      <w:r w:rsidR="00BB1AE7">
        <w:rPr>
          <w:rFonts w:ascii="Times New Roman" w:hAnsi="Times New Roman" w:cs="Times New Roman"/>
          <w:sz w:val="24"/>
          <w:szCs w:val="24"/>
        </w:rPr>
        <w:t>using the BP calculator</w:t>
      </w:r>
      <w:r>
        <w:rPr>
          <w:rFonts w:ascii="Times New Roman" w:hAnsi="Times New Roman" w:cs="Times New Roman"/>
          <w:sz w:val="24"/>
          <w:szCs w:val="24"/>
        </w:rPr>
        <w:t xml:space="preserve"> on the basis of ingredients provided by Catering</w:t>
      </w:r>
      <w:r w:rsidR="00BB1AE7">
        <w:rPr>
          <w:rFonts w:ascii="Times New Roman" w:hAnsi="Times New Roman" w:cs="Times New Roman"/>
          <w:sz w:val="24"/>
          <w:szCs w:val="24"/>
        </w:rPr>
        <w:t xml:space="preserve">; the </w:t>
      </w:r>
      <w:r w:rsidR="00620ABD">
        <w:rPr>
          <w:rFonts w:ascii="Times New Roman" w:hAnsi="Times New Roman" w:cs="Times New Roman"/>
          <w:sz w:val="24"/>
          <w:szCs w:val="24"/>
        </w:rPr>
        <w:t xml:space="preserve">University </w:t>
      </w:r>
      <w:r w:rsidR="00BB1AE7">
        <w:rPr>
          <w:rFonts w:ascii="Times New Roman" w:hAnsi="Times New Roman" w:cs="Times New Roman"/>
          <w:sz w:val="24"/>
          <w:szCs w:val="24"/>
        </w:rPr>
        <w:t xml:space="preserve">Catering department </w:t>
      </w:r>
      <w:r w:rsidR="007D4B65">
        <w:rPr>
          <w:rFonts w:ascii="Times New Roman" w:hAnsi="Times New Roman" w:cs="Times New Roman"/>
          <w:sz w:val="24"/>
          <w:szCs w:val="24"/>
        </w:rPr>
        <w:t>emissions</w:t>
      </w:r>
      <w:r w:rsidR="00BB1AE7">
        <w:rPr>
          <w:rFonts w:ascii="Times New Roman" w:hAnsi="Times New Roman" w:cs="Times New Roman"/>
          <w:sz w:val="24"/>
          <w:szCs w:val="24"/>
        </w:rPr>
        <w:t xml:space="preserve"> calculator remains in beta stage and so was not yet available. </w:t>
      </w:r>
    </w:p>
    <w:p w14:paraId="37FEB82D" w14:textId="063323A1" w:rsidR="00523196" w:rsidRDefault="00BA5E4E" w:rsidP="004856C9">
      <w:pPr>
        <w:jc w:val="both"/>
        <w:rPr>
          <w:rFonts w:ascii="Times New Roman" w:hAnsi="Times New Roman" w:cs="Times New Roman"/>
          <w:sz w:val="24"/>
          <w:szCs w:val="24"/>
        </w:rPr>
      </w:pPr>
      <w:r>
        <w:rPr>
          <w:rFonts w:ascii="Times New Roman" w:hAnsi="Times New Roman" w:cs="Times New Roman"/>
          <w:sz w:val="24"/>
          <w:szCs w:val="24"/>
        </w:rPr>
        <w:t xml:space="preserve">The conference dinner was more precise: </w:t>
      </w:r>
      <w:r w:rsidR="00B84B0E">
        <w:rPr>
          <w:rFonts w:ascii="Times New Roman" w:hAnsi="Times New Roman" w:cs="Times New Roman"/>
          <w:sz w:val="24"/>
          <w:szCs w:val="24"/>
        </w:rPr>
        <w:t>in response to the organisers’ request, the Hotel Head Chef agreed to design a ‘sustainability menu’ bespoke for the event, which featured lamb as a low-</w:t>
      </w:r>
      <w:r w:rsidR="007D4B65">
        <w:rPr>
          <w:rFonts w:ascii="Times New Roman" w:hAnsi="Times New Roman" w:cs="Times New Roman"/>
          <w:sz w:val="24"/>
          <w:szCs w:val="24"/>
        </w:rPr>
        <w:t>emission</w:t>
      </w:r>
      <w:r w:rsidR="00B84B0E">
        <w:rPr>
          <w:rFonts w:ascii="Times New Roman" w:hAnsi="Times New Roman" w:cs="Times New Roman"/>
          <w:sz w:val="24"/>
          <w:szCs w:val="24"/>
        </w:rPr>
        <w:t xml:space="preserve"> meat source for the main meal, vegetables and other low-intensive ingredients. As their usual sources for the ingredients were based overseas (e.g. – the</w:t>
      </w:r>
      <w:r w:rsidR="00162150">
        <w:rPr>
          <w:rFonts w:ascii="Times New Roman" w:hAnsi="Times New Roman" w:cs="Times New Roman"/>
          <w:sz w:val="24"/>
          <w:szCs w:val="24"/>
        </w:rPr>
        <w:t>ir</w:t>
      </w:r>
      <w:r w:rsidR="00B84B0E">
        <w:rPr>
          <w:rFonts w:ascii="Times New Roman" w:hAnsi="Times New Roman" w:cs="Times New Roman"/>
          <w:sz w:val="24"/>
          <w:szCs w:val="24"/>
        </w:rPr>
        <w:t xml:space="preserve"> asparagus comes from Peru) the Hotel agreed to purchase them from Hill House Farm in Dorking, Surrey, transporting them in a single journey. </w:t>
      </w:r>
      <w:r w:rsidR="00B87D23" w:rsidRPr="00F252F5">
        <w:rPr>
          <w:rFonts w:ascii="Times New Roman" w:hAnsi="Times New Roman" w:cs="Times New Roman"/>
          <w:sz w:val="24"/>
          <w:szCs w:val="24"/>
        </w:rPr>
        <w:t>As dinner tickets under-sold by five, the Hotel had a waste management plan that featured composting</w:t>
      </w:r>
      <w:r w:rsidR="00620ABD" w:rsidRPr="00F252F5">
        <w:rPr>
          <w:rFonts w:ascii="Times New Roman" w:hAnsi="Times New Roman" w:cs="Times New Roman"/>
          <w:sz w:val="24"/>
          <w:szCs w:val="24"/>
        </w:rPr>
        <w:t xml:space="preserve"> of </w:t>
      </w:r>
      <w:r w:rsidR="00B87D23" w:rsidRPr="00F252F5">
        <w:rPr>
          <w:rFonts w:ascii="Times New Roman" w:hAnsi="Times New Roman" w:cs="Times New Roman"/>
          <w:sz w:val="24"/>
          <w:szCs w:val="24"/>
        </w:rPr>
        <w:t>unconsumed food and drink</w:t>
      </w:r>
      <w:r w:rsidR="00620ABD" w:rsidRPr="00F252F5">
        <w:rPr>
          <w:rFonts w:ascii="Times New Roman" w:hAnsi="Times New Roman" w:cs="Times New Roman"/>
          <w:sz w:val="24"/>
          <w:szCs w:val="24"/>
        </w:rPr>
        <w:t>, though disposal into landfill waste also occurred</w:t>
      </w:r>
      <w:r w:rsidR="00B87D23" w:rsidRPr="00F252F5">
        <w:rPr>
          <w:rFonts w:ascii="Times New Roman" w:hAnsi="Times New Roman" w:cs="Times New Roman"/>
          <w:sz w:val="24"/>
          <w:szCs w:val="24"/>
        </w:rPr>
        <w:t>.</w:t>
      </w:r>
      <w:r w:rsidR="006451DE" w:rsidRPr="00F252F5">
        <w:rPr>
          <w:rFonts w:ascii="Times New Roman" w:hAnsi="Times New Roman" w:cs="Times New Roman"/>
          <w:sz w:val="24"/>
          <w:szCs w:val="24"/>
        </w:rPr>
        <w:t xml:space="preserve"> </w:t>
      </w:r>
      <w:r w:rsidR="00830197" w:rsidRPr="00DB3E9D">
        <w:rPr>
          <w:rFonts w:ascii="Times New Roman" w:hAnsi="Times New Roman" w:cs="Times New Roman"/>
          <w:sz w:val="24"/>
          <w:szCs w:val="24"/>
        </w:rPr>
        <w:t xml:space="preserve">University Catering used compostable </w:t>
      </w:r>
      <w:r w:rsidR="00C97221" w:rsidRPr="00DB3E9D">
        <w:rPr>
          <w:rFonts w:ascii="Times New Roman" w:hAnsi="Times New Roman" w:cs="Times New Roman"/>
          <w:sz w:val="24"/>
          <w:szCs w:val="24"/>
        </w:rPr>
        <w:t xml:space="preserve">disposables </w:t>
      </w:r>
      <w:r w:rsidR="00830197" w:rsidRPr="00DB3E9D">
        <w:rPr>
          <w:rFonts w:ascii="Times New Roman" w:hAnsi="Times New Roman" w:cs="Times New Roman"/>
          <w:sz w:val="24"/>
          <w:szCs w:val="24"/>
        </w:rPr>
        <w:t>for tea breaks</w:t>
      </w:r>
      <w:r w:rsidR="001A682B" w:rsidRPr="00DB3E9D">
        <w:rPr>
          <w:rFonts w:ascii="Times New Roman" w:hAnsi="Times New Roman" w:cs="Times New Roman"/>
          <w:sz w:val="24"/>
          <w:szCs w:val="24"/>
        </w:rPr>
        <w:t xml:space="preserve"> and composted food waste, while the </w:t>
      </w:r>
      <w:r w:rsidR="00DB3E9D" w:rsidRPr="00DB3E9D">
        <w:rPr>
          <w:rFonts w:ascii="Times New Roman" w:hAnsi="Times New Roman" w:cs="Times New Roman"/>
          <w:sz w:val="24"/>
          <w:szCs w:val="24"/>
        </w:rPr>
        <w:t xml:space="preserve">buffet </w:t>
      </w:r>
      <w:r w:rsidR="001A682B" w:rsidRPr="00DB3E9D">
        <w:rPr>
          <w:rFonts w:ascii="Times New Roman" w:hAnsi="Times New Roman" w:cs="Times New Roman"/>
          <w:sz w:val="24"/>
          <w:szCs w:val="24"/>
        </w:rPr>
        <w:t xml:space="preserve">lunch – hosted at the Hillside Restaurant on campus – </w:t>
      </w:r>
      <w:r w:rsidR="00C97221" w:rsidRPr="00DB3E9D">
        <w:rPr>
          <w:rFonts w:ascii="Times New Roman" w:hAnsi="Times New Roman" w:cs="Times New Roman"/>
          <w:sz w:val="24"/>
          <w:szCs w:val="24"/>
        </w:rPr>
        <w:t>featured re-usable cutlery and crockery and no food waste</w:t>
      </w:r>
      <w:r w:rsidR="00DB3E9D" w:rsidRPr="00DB3E9D">
        <w:rPr>
          <w:rFonts w:ascii="Times New Roman" w:hAnsi="Times New Roman" w:cs="Times New Roman"/>
          <w:sz w:val="24"/>
          <w:szCs w:val="24"/>
        </w:rPr>
        <w:t xml:space="preserve">. </w:t>
      </w:r>
    </w:p>
    <w:p w14:paraId="05E27696" w14:textId="23C968E3" w:rsidR="00B87D23" w:rsidRDefault="00B87D23" w:rsidP="004856C9">
      <w:pPr>
        <w:jc w:val="both"/>
        <w:rPr>
          <w:rFonts w:ascii="Times New Roman" w:hAnsi="Times New Roman" w:cs="Times New Roman"/>
          <w:sz w:val="24"/>
          <w:szCs w:val="24"/>
          <w:u w:val="single"/>
        </w:rPr>
      </w:pPr>
      <w:r>
        <w:rPr>
          <w:rFonts w:ascii="Times New Roman" w:hAnsi="Times New Roman" w:cs="Times New Roman"/>
          <w:sz w:val="24"/>
          <w:szCs w:val="24"/>
          <w:u w:val="single"/>
        </w:rPr>
        <w:t>Technology</w:t>
      </w:r>
    </w:p>
    <w:p w14:paraId="0B62C5F3" w14:textId="10128D48" w:rsidR="00B87D23" w:rsidRDefault="00B87D23" w:rsidP="004856C9">
      <w:pPr>
        <w:jc w:val="both"/>
        <w:rPr>
          <w:rFonts w:ascii="Times New Roman" w:hAnsi="Times New Roman" w:cs="Times New Roman"/>
          <w:sz w:val="24"/>
          <w:szCs w:val="24"/>
        </w:rPr>
      </w:pPr>
      <w:r>
        <w:rPr>
          <w:rFonts w:ascii="Times New Roman" w:hAnsi="Times New Roman" w:cs="Times New Roman"/>
          <w:sz w:val="24"/>
          <w:szCs w:val="24"/>
        </w:rPr>
        <w:t xml:space="preserve">Knowing from experience the perils of hybrid mode, </w:t>
      </w:r>
      <w:r w:rsidR="002545EB">
        <w:rPr>
          <w:rFonts w:ascii="Times New Roman" w:hAnsi="Times New Roman" w:cs="Times New Roman"/>
          <w:sz w:val="24"/>
          <w:szCs w:val="24"/>
        </w:rPr>
        <w:t>we</w:t>
      </w:r>
      <w:r>
        <w:rPr>
          <w:rFonts w:ascii="Times New Roman" w:hAnsi="Times New Roman" w:cs="Times New Roman"/>
          <w:sz w:val="24"/>
          <w:szCs w:val="24"/>
        </w:rPr>
        <w:t xml:space="preserve"> prepared</w:t>
      </w:r>
      <w:r w:rsidR="002545EB">
        <w:rPr>
          <w:rFonts w:ascii="Times New Roman" w:hAnsi="Times New Roman" w:cs="Times New Roman"/>
          <w:sz w:val="24"/>
          <w:szCs w:val="24"/>
        </w:rPr>
        <w:t xml:space="preserve"> ourselves</w:t>
      </w:r>
      <w:r>
        <w:rPr>
          <w:rFonts w:ascii="Times New Roman" w:hAnsi="Times New Roman" w:cs="Times New Roman"/>
          <w:sz w:val="24"/>
          <w:szCs w:val="24"/>
        </w:rPr>
        <w:t xml:space="preserve"> </w:t>
      </w:r>
      <w:r w:rsidR="00D30B55">
        <w:rPr>
          <w:rFonts w:ascii="Times New Roman" w:hAnsi="Times New Roman" w:cs="Times New Roman"/>
          <w:sz w:val="24"/>
          <w:szCs w:val="24"/>
        </w:rPr>
        <w:t>for the technology</w:t>
      </w:r>
      <w:r>
        <w:rPr>
          <w:rFonts w:ascii="Times New Roman" w:hAnsi="Times New Roman" w:cs="Times New Roman"/>
          <w:sz w:val="24"/>
          <w:szCs w:val="24"/>
        </w:rPr>
        <w:t xml:space="preserve">, including a rehearsal session with the AV equipment </w:t>
      </w:r>
      <w:r w:rsidR="00D30B55">
        <w:rPr>
          <w:rFonts w:ascii="Times New Roman" w:hAnsi="Times New Roman" w:cs="Times New Roman"/>
          <w:sz w:val="24"/>
          <w:szCs w:val="24"/>
        </w:rPr>
        <w:t xml:space="preserve">and Zoom Webinar platform </w:t>
      </w:r>
      <w:r>
        <w:rPr>
          <w:rFonts w:ascii="Times New Roman" w:hAnsi="Times New Roman" w:cs="Times New Roman"/>
          <w:sz w:val="24"/>
          <w:szCs w:val="24"/>
        </w:rPr>
        <w:t>in the lecture theatre</w:t>
      </w:r>
      <w:r w:rsidR="00D30B55">
        <w:rPr>
          <w:rFonts w:ascii="Times New Roman" w:hAnsi="Times New Roman" w:cs="Times New Roman"/>
          <w:sz w:val="24"/>
          <w:szCs w:val="24"/>
        </w:rPr>
        <w:t xml:space="preserve"> and audio-visual </w:t>
      </w:r>
      <w:r>
        <w:rPr>
          <w:rFonts w:ascii="Times New Roman" w:hAnsi="Times New Roman" w:cs="Times New Roman"/>
          <w:sz w:val="24"/>
          <w:szCs w:val="24"/>
        </w:rPr>
        <w:t>testing with each of the speakers in the quarter-hour before their respective panels</w:t>
      </w:r>
      <w:r w:rsidR="00D30B55">
        <w:rPr>
          <w:rFonts w:ascii="Times New Roman" w:hAnsi="Times New Roman" w:cs="Times New Roman"/>
          <w:sz w:val="24"/>
          <w:szCs w:val="24"/>
        </w:rPr>
        <w:t xml:space="preserve">. </w:t>
      </w:r>
      <w:r>
        <w:rPr>
          <w:rFonts w:ascii="Times New Roman" w:hAnsi="Times New Roman" w:cs="Times New Roman"/>
          <w:sz w:val="24"/>
          <w:szCs w:val="24"/>
        </w:rPr>
        <w:t xml:space="preserve">The Conference saw smooth delivery until lunchtime, when a well-intentioned soul deactivated the </w:t>
      </w:r>
      <w:r w:rsidR="005133F5">
        <w:rPr>
          <w:rFonts w:ascii="Times New Roman" w:hAnsi="Times New Roman" w:cs="Times New Roman"/>
          <w:sz w:val="24"/>
          <w:szCs w:val="24"/>
        </w:rPr>
        <w:t xml:space="preserve">AV and Zoom Webinar system, </w:t>
      </w:r>
      <w:r w:rsidR="00AE2110">
        <w:rPr>
          <w:rFonts w:ascii="Times New Roman" w:hAnsi="Times New Roman" w:cs="Times New Roman"/>
          <w:sz w:val="24"/>
          <w:szCs w:val="24"/>
        </w:rPr>
        <w:t>accidentally</w:t>
      </w:r>
      <w:r w:rsidR="005133F5">
        <w:rPr>
          <w:rFonts w:ascii="Times New Roman" w:hAnsi="Times New Roman" w:cs="Times New Roman"/>
          <w:sz w:val="24"/>
          <w:szCs w:val="24"/>
        </w:rPr>
        <w:t xml:space="preserve"> nullifying the calibrations that we </w:t>
      </w:r>
      <w:r w:rsidR="00AB23ED">
        <w:rPr>
          <w:rFonts w:ascii="Times New Roman" w:hAnsi="Times New Roman" w:cs="Times New Roman"/>
          <w:sz w:val="24"/>
          <w:szCs w:val="24"/>
        </w:rPr>
        <w:t>had done</w:t>
      </w:r>
      <w:r w:rsidR="005133F5">
        <w:rPr>
          <w:rFonts w:ascii="Times New Roman" w:hAnsi="Times New Roman" w:cs="Times New Roman"/>
          <w:sz w:val="24"/>
          <w:szCs w:val="24"/>
        </w:rPr>
        <w:t xml:space="preserve"> before the conference start. Though we suffered a 15-minute delay to the start of the first afternoon session</w:t>
      </w:r>
      <w:r w:rsidR="00D30B55">
        <w:rPr>
          <w:rFonts w:ascii="Times New Roman" w:hAnsi="Times New Roman" w:cs="Times New Roman"/>
          <w:sz w:val="24"/>
          <w:szCs w:val="24"/>
        </w:rPr>
        <w:t xml:space="preserve"> while we </w:t>
      </w:r>
      <w:r w:rsidR="00AB23ED">
        <w:rPr>
          <w:rFonts w:ascii="Times New Roman" w:hAnsi="Times New Roman" w:cs="Times New Roman"/>
          <w:sz w:val="24"/>
          <w:szCs w:val="24"/>
        </w:rPr>
        <w:t>recalibrated</w:t>
      </w:r>
      <w:r w:rsidR="00D30B55">
        <w:rPr>
          <w:rFonts w:ascii="Times New Roman" w:hAnsi="Times New Roman" w:cs="Times New Roman"/>
          <w:sz w:val="24"/>
          <w:szCs w:val="24"/>
        </w:rPr>
        <w:t xml:space="preserve"> the system</w:t>
      </w:r>
      <w:r w:rsidR="005133F5">
        <w:rPr>
          <w:rFonts w:ascii="Times New Roman" w:hAnsi="Times New Roman" w:cs="Times New Roman"/>
          <w:sz w:val="24"/>
          <w:szCs w:val="24"/>
        </w:rPr>
        <w:t xml:space="preserve">, </w:t>
      </w:r>
      <w:r w:rsidR="00477422">
        <w:rPr>
          <w:rFonts w:ascii="Times New Roman" w:hAnsi="Times New Roman" w:cs="Times New Roman"/>
          <w:sz w:val="24"/>
          <w:szCs w:val="24"/>
        </w:rPr>
        <w:t xml:space="preserve">this was easily </w:t>
      </w:r>
      <w:r w:rsidR="00477422">
        <w:rPr>
          <w:rFonts w:ascii="Times New Roman" w:hAnsi="Times New Roman" w:cs="Times New Roman"/>
          <w:sz w:val="24"/>
          <w:szCs w:val="24"/>
        </w:rPr>
        <w:lastRenderedPageBreak/>
        <w:t xml:space="preserve">regained with a curtailed </w:t>
      </w:r>
      <w:r w:rsidR="00BB1195">
        <w:rPr>
          <w:rFonts w:ascii="Times New Roman" w:hAnsi="Times New Roman" w:cs="Times New Roman"/>
          <w:sz w:val="24"/>
          <w:szCs w:val="24"/>
        </w:rPr>
        <w:t>Q&amp;A and coffee break</w:t>
      </w:r>
      <w:r w:rsidR="00AB23ED">
        <w:rPr>
          <w:rFonts w:ascii="Times New Roman" w:hAnsi="Times New Roman" w:cs="Times New Roman"/>
          <w:sz w:val="24"/>
          <w:szCs w:val="24"/>
        </w:rPr>
        <w:t xml:space="preserve"> while such delays are by no means rare in fully in-person events</w:t>
      </w:r>
      <w:r w:rsidR="00BB1195">
        <w:rPr>
          <w:rFonts w:ascii="Times New Roman" w:hAnsi="Times New Roman" w:cs="Times New Roman"/>
          <w:sz w:val="24"/>
          <w:szCs w:val="24"/>
        </w:rPr>
        <w:t xml:space="preserve">. </w:t>
      </w:r>
    </w:p>
    <w:p w14:paraId="3FA85DD1" w14:textId="6237D90A" w:rsidR="00B94422" w:rsidRDefault="00BB1195" w:rsidP="004856C9">
      <w:pPr>
        <w:jc w:val="both"/>
        <w:rPr>
          <w:rFonts w:ascii="Times New Roman" w:hAnsi="Times New Roman" w:cs="Times New Roman"/>
          <w:sz w:val="24"/>
          <w:szCs w:val="24"/>
        </w:rPr>
      </w:pPr>
      <w:r>
        <w:rPr>
          <w:rFonts w:ascii="Times New Roman" w:hAnsi="Times New Roman" w:cs="Times New Roman"/>
          <w:sz w:val="24"/>
          <w:szCs w:val="24"/>
        </w:rPr>
        <w:t xml:space="preserve">Other incidents were comparatively minor; in a few cases, speakers’ audio receptions </w:t>
      </w:r>
      <w:r w:rsidR="00565C39">
        <w:rPr>
          <w:rFonts w:ascii="Times New Roman" w:hAnsi="Times New Roman" w:cs="Times New Roman"/>
          <w:sz w:val="24"/>
          <w:szCs w:val="24"/>
        </w:rPr>
        <w:t xml:space="preserve">(identified during testing) </w:t>
      </w:r>
      <w:r>
        <w:rPr>
          <w:rFonts w:ascii="Times New Roman" w:hAnsi="Times New Roman" w:cs="Times New Roman"/>
          <w:sz w:val="24"/>
          <w:szCs w:val="24"/>
        </w:rPr>
        <w:t xml:space="preserve">were a bit weak </w:t>
      </w:r>
      <w:r w:rsidR="0053176B">
        <w:rPr>
          <w:rFonts w:ascii="Times New Roman" w:hAnsi="Times New Roman" w:cs="Times New Roman"/>
          <w:sz w:val="24"/>
          <w:szCs w:val="24"/>
        </w:rPr>
        <w:t xml:space="preserve">for want of headsets, while we sustained a brief loss of connectivity with one speaker. </w:t>
      </w:r>
      <w:r w:rsidR="004618E9">
        <w:rPr>
          <w:rFonts w:ascii="Times New Roman" w:hAnsi="Times New Roman" w:cs="Times New Roman"/>
          <w:sz w:val="24"/>
          <w:szCs w:val="24"/>
        </w:rPr>
        <w:t>Having briefed speakers in detail on the contingency arrangements for such eventualities, we were able to smoothly continue the proceedings until the speaker re</w:t>
      </w:r>
      <w:r w:rsidR="00A93AFA">
        <w:rPr>
          <w:rFonts w:ascii="Times New Roman" w:hAnsi="Times New Roman" w:cs="Times New Roman"/>
          <w:sz w:val="24"/>
          <w:szCs w:val="24"/>
        </w:rPr>
        <w:t>-</w:t>
      </w:r>
      <w:r w:rsidR="004618E9">
        <w:rPr>
          <w:rFonts w:ascii="Times New Roman" w:hAnsi="Times New Roman" w:cs="Times New Roman"/>
          <w:sz w:val="24"/>
          <w:szCs w:val="24"/>
        </w:rPr>
        <w:t>joined</w:t>
      </w:r>
      <w:r w:rsidR="00B94422">
        <w:rPr>
          <w:rFonts w:ascii="Times New Roman" w:hAnsi="Times New Roman" w:cs="Times New Roman"/>
          <w:sz w:val="24"/>
          <w:szCs w:val="24"/>
        </w:rPr>
        <w:t xml:space="preserve"> and was reintegrated. The conference opened and closed </w:t>
      </w:r>
      <w:r w:rsidR="003E5323">
        <w:rPr>
          <w:rFonts w:ascii="Times New Roman" w:hAnsi="Times New Roman" w:cs="Times New Roman"/>
          <w:sz w:val="24"/>
          <w:szCs w:val="24"/>
        </w:rPr>
        <w:t>to the programmed</w:t>
      </w:r>
      <w:r w:rsidR="00B94422">
        <w:rPr>
          <w:rFonts w:ascii="Times New Roman" w:hAnsi="Times New Roman" w:cs="Times New Roman"/>
          <w:sz w:val="24"/>
          <w:szCs w:val="24"/>
        </w:rPr>
        <w:t xml:space="preserve"> timings. </w:t>
      </w:r>
      <w:r w:rsidR="00A4239B">
        <w:rPr>
          <w:rFonts w:ascii="Times New Roman" w:hAnsi="Times New Roman" w:cs="Times New Roman"/>
          <w:sz w:val="24"/>
          <w:szCs w:val="24"/>
        </w:rPr>
        <w:t xml:space="preserve">The lecture theatre, one of the prestige venues of the University equipped with the necessary and instinctive system, </w:t>
      </w:r>
      <w:r w:rsidR="00565C39">
        <w:rPr>
          <w:rFonts w:ascii="Times New Roman" w:hAnsi="Times New Roman" w:cs="Times New Roman"/>
          <w:sz w:val="24"/>
          <w:szCs w:val="24"/>
        </w:rPr>
        <w:t>had been</w:t>
      </w:r>
      <w:r w:rsidR="00A4239B">
        <w:rPr>
          <w:rFonts w:ascii="Times New Roman" w:hAnsi="Times New Roman" w:cs="Times New Roman"/>
          <w:sz w:val="24"/>
          <w:szCs w:val="24"/>
        </w:rPr>
        <w:t xml:space="preserve"> booked six months in advance. </w:t>
      </w:r>
    </w:p>
    <w:p w14:paraId="4C923FCC" w14:textId="57392CE6" w:rsidR="00A4239B" w:rsidRPr="00A4239B" w:rsidRDefault="00A4239B" w:rsidP="004856C9">
      <w:pPr>
        <w:jc w:val="both"/>
        <w:rPr>
          <w:rFonts w:ascii="Times New Roman" w:hAnsi="Times New Roman" w:cs="Times New Roman"/>
          <w:sz w:val="24"/>
          <w:szCs w:val="24"/>
          <w:u w:val="single"/>
        </w:rPr>
      </w:pPr>
      <w:r>
        <w:rPr>
          <w:rFonts w:ascii="Times New Roman" w:hAnsi="Times New Roman" w:cs="Times New Roman"/>
          <w:sz w:val="24"/>
          <w:szCs w:val="24"/>
          <w:u w:val="single"/>
        </w:rPr>
        <w:t>An Integrated Audience</w:t>
      </w:r>
    </w:p>
    <w:p w14:paraId="33AFA75D" w14:textId="563DE112" w:rsidR="00601B0E" w:rsidRDefault="00314C41" w:rsidP="004856C9">
      <w:pPr>
        <w:jc w:val="both"/>
        <w:rPr>
          <w:rFonts w:ascii="Times New Roman" w:hAnsi="Times New Roman" w:cs="Times New Roman"/>
          <w:sz w:val="24"/>
          <w:szCs w:val="24"/>
        </w:rPr>
      </w:pPr>
      <w:r>
        <w:rPr>
          <w:rFonts w:ascii="Times New Roman" w:hAnsi="Times New Roman" w:cs="Times New Roman"/>
          <w:sz w:val="24"/>
          <w:szCs w:val="24"/>
        </w:rPr>
        <w:t>In hybrid mode, r</w:t>
      </w:r>
      <w:r w:rsidR="00C6547C">
        <w:rPr>
          <w:rFonts w:ascii="Times New Roman" w:hAnsi="Times New Roman" w:cs="Times New Roman"/>
          <w:sz w:val="24"/>
          <w:szCs w:val="24"/>
        </w:rPr>
        <w:t xml:space="preserve">emote attendance can often feel like second-class citizenship: no eye contact, remote hand raised endlessly without recognition, </w:t>
      </w:r>
      <w:r>
        <w:rPr>
          <w:rFonts w:ascii="Times New Roman" w:hAnsi="Times New Roman" w:cs="Times New Roman"/>
          <w:sz w:val="24"/>
          <w:szCs w:val="24"/>
        </w:rPr>
        <w:t xml:space="preserve">no prioritisation for interventions. Organisers and speakers were briefed to the location of the camera for the virtual audience to include in their fields of vision. No prioritisation was made between the two audiences, save for the convenience of grouping questions. </w:t>
      </w:r>
      <w:r w:rsidR="00724C81">
        <w:rPr>
          <w:rFonts w:ascii="Times New Roman" w:hAnsi="Times New Roman" w:cs="Times New Roman"/>
          <w:sz w:val="24"/>
          <w:szCs w:val="24"/>
        </w:rPr>
        <w:t>Likewise, remote speakers were excellent in focusing on their computer cameras, thus conveying an image of eye contact to the in-person audience. The very ‘even’ distribution of speakers and delegates alike made for a seamless and natural experience</w:t>
      </w:r>
      <w:r w:rsidR="00D571D9">
        <w:rPr>
          <w:rFonts w:ascii="Times New Roman" w:hAnsi="Times New Roman" w:cs="Times New Roman"/>
          <w:sz w:val="24"/>
          <w:szCs w:val="24"/>
        </w:rPr>
        <w:t xml:space="preserve"> with good use made of the </w:t>
      </w:r>
      <w:r w:rsidR="006D28DD">
        <w:rPr>
          <w:rFonts w:ascii="Times New Roman" w:hAnsi="Times New Roman" w:cs="Times New Roman"/>
          <w:sz w:val="24"/>
          <w:szCs w:val="24"/>
        </w:rPr>
        <w:t>‘</w:t>
      </w:r>
      <w:r w:rsidR="00D571D9">
        <w:rPr>
          <w:rFonts w:ascii="Times New Roman" w:hAnsi="Times New Roman" w:cs="Times New Roman"/>
          <w:sz w:val="24"/>
          <w:szCs w:val="24"/>
        </w:rPr>
        <w:t>Q&amp;A</w:t>
      </w:r>
      <w:r w:rsidR="006D28DD">
        <w:rPr>
          <w:rFonts w:ascii="Times New Roman" w:hAnsi="Times New Roman" w:cs="Times New Roman"/>
          <w:sz w:val="24"/>
          <w:szCs w:val="24"/>
        </w:rPr>
        <w:t>’</w:t>
      </w:r>
      <w:r w:rsidR="00D571D9">
        <w:rPr>
          <w:rFonts w:ascii="Times New Roman" w:hAnsi="Times New Roman" w:cs="Times New Roman"/>
          <w:sz w:val="24"/>
          <w:szCs w:val="24"/>
        </w:rPr>
        <w:t xml:space="preserve"> and </w:t>
      </w:r>
      <w:r w:rsidR="006D28DD">
        <w:rPr>
          <w:rFonts w:ascii="Times New Roman" w:hAnsi="Times New Roman" w:cs="Times New Roman"/>
          <w:sz w:val="24"/>
          <w:szCs w:val="24"/>
        </w:rPr>
        <w:t>‘</w:t>
      </w:r>
      <w:r w:rsidR="00D571D9">
        <w:rPr>
          <w:rFonts w:ascii="Times New Roman" w:hAnsi="Times New Roman" w:cs="Times New Roman"/>
          <w:sz w:val="24"/>
          <w:szCs w:val="24"/>
        </w:rPr>
        <w:t>raise hand functions</w:t>
      </w:r>
      <w:r w:rsidR="006D28DD">
        <w:rPr>
          <w:rFonts w:ascii="Times New Roman" w:hAnsi="Times New Roman" w:cs="Times New Roman"/>
          <w:sz w:val="24"/>
          <w:szCs w:val="24"/>
        </w:rPr>
        <w:t>’</w:t>
      </w:r>
      <w:r w:rsidR="00D571D9">
        <w:rPr>
          <w:rFonts w:ascii="Times New Roman" w:hAnsi="Times New Roman" w:cs="Times New Roman"/>
          <w:sz w:val="24"/>
          <w:szCs w:val="24"/>
        </w:rPr>
        <w:t xml:space="preserve"> in </w:t>
      </w:r>
      <w:hyperlink r:id="rId13" w:history="1">
        <w:r w:rsidR="00D571D9" w:rsidRPr="00232454">
          <w:rPr>
            <w:rStyle w:val="Hyperlink"/>
            <w:rFonts w:ascii="Times New Roman" w:hAnsi="Times New Roman" w:cs="Times New Roman"/>
            <w:sz w:val="24"/>
            <w:szCs w:val="24"/>
          </w:rPr>
          <w:t>Webinar mode</w:t>
        </w:r>
      </w:hyperlink>
      <w:r w:rsidR="00D571D9">
        <w:rPr>
          <w:rFonts w:ascii="Times New Roman" w:hAnsi="Times New Roman" w:cs="Times New Roman"/>
          <w:sz w:val="24"/>
          <w:szCs w:val="24"/>
        </w:rPr>
        <w:t>. Coughing, background noise, and forgotten mut</w:t>
      </w:r>
      <w:r w:rsidR="00232454">
        <w:rPr>
          <w:rFonts w:ascii="Times New Roman" w:hAnsi="Times New Roman" w:cs="Times New Roman"/>
          <w:sz w:val="24"/>
          <w:szCs w:val="24"/>
        </w:rPr>
        <w:t>ing</w:t>
      </w:r>
      <w:r w:rsidR="00D571D9">
        <w:rPr>
          <w:rFonts w:ascii="Times New Roman" w:hAnsi="Times New Roman" w:cs="Times New Roman"/>
          <w:sz w:val="24"/>
          <w:szCs w:val="24"/>
        </w:rPr>
        <w:t xml:space="preserve"> were eliminated by using the Webinar</w:t>
      </w:r>
      <w:r w:rsidR="00F611D0">
        <w:rPr>
          <w:rFonts w:ascii="Times New Roman" w:hAnsi="Times New Roman" w:cs="Times New Roman"/>
          <w:sz w:val="24"/>
          <w:szCs w:val="24"/>
        </w:rPr>
        <w:t xml:space="preserve"> platform</w:t>
      </w:r>
      <w:r w:rsidR="003D69ED">
        <w:rPr>
          <w:rFonts w:ascii="Times New Roman" w:hAnsi="Times New Roman" w:cs="Times New Roman"/>
          <w:sz w:val="24"/>
          <w:szCs w:val="24"/>
        </w:rPr>
        <w:t xml:space="preserve"> instead of Meeting</w:t>
      </w:r>
      <w:r w:rsidR="00D571D9">
        <w:rPr>
          <w:rFonts w:ascii="Times New Roman" w:hAnsi="Times New Roman" w:cs="Times New Roman"/>
          <w:sz w:val="24"/>
          <w:szCs w:val="24"/>
        </w:rPr>
        <w:t>, enabl</w:t>
      </w:r>
      <w:r w:rsidR="003D69ED">
        <w:rPr>
          <w:rFonts w:ascii="Times New Roman" w:hAnsi="Times New Roman" w:cs="Times New Roman"/>
          <w:sz w:val="24"/>
          <w:szCs w:val="24"/>
        </w:rPr>
        <w:t>ing</w:t>
      </w:r>
      <w:r w:rsidR="00D571D9">
        <w:rPr>
          <w:rFonts w:ascii="Times New Roman" w:hAnsi="Times New Roman" w:cs="Times New Roman"/>
          <w:sz w:val="24"/>
          <w:szCs w:val="24"/>
        </w:rPr>
        <w:t xml:space="preserve"> the technical host </w:t>
      </w:r>
      <w:r w:rsidR="007F51C1">
        <w:rPr>
          <w:rFonts w:ascii="Times New Roman" w:hAnsi="Times New Roman" w:cs="Times New Roman"/>
          <w:sz w:val="24"/>
          <w:szCs w:val="24"/>
        </w:rPr>
        <w:t xml:space="preserve">to control the audience. </w:t>
      </w:r>
    </w:p>
    <w:p w14:paraId="6E18E903" w14:textId="5BEC1808" w:rsidR="00511DC3" w:rsidRPr="00B87D23" w:rsidRDefault="00B87D23" w:rsidP="004856C9">
      <w:pPr>
        <w:jc w:val="both"/>
        <w:rPr>
          <w:rFonts w:ascii="Times New Roman" w:hAnsi="Times New Roman" w:cs="Times New Roman"/>
          <w:sz w:val="24"/>
          <w:szCs w:val="24"/>
          <w:u w:val="single"/>
        </w:rPr>
      </w:pPr>
      <w:r>
        <w:rPr>
          <w:rFonts w:ascii="Times New Roman" w:hAnsi="Times New Roman" w:cs="Times New Roman"/>
          <w:sz w:val="24"/>
          <w:szCs w:val="24"/>
          <w:u w:val="single"/>
        </w:rPr>
        <w:t>The Workload</w:t>
      </w:r>
    </w:p>
    <w:p w14:paraId="3BBBFD44" w14:textId="2C207FF9" w:rsidR="00B37E8A" w:rsidRDefault="00DD53A6" w:rsidP="004856C9">
      <w:pPr>
        <w:jc w:val="both"/>
        <w:rPr>
          <w:rFonts w:ascii="Times New Roman" w:hAnsi="Times New Roman" w:cs="Times New Roman"/>
          <w:sz w:val="24"/>
          <w:szCs w:val="24"/>
        </w:rPr>
      </w:pPr>
      <w:r>
        <w:rPr>
          <w:rFonts w:ascii="Times New Roman" w:hAnsi="Times New Roman" w:cs="Times New Roman"/>
          <w:sz w:val="24"/>
          <w:szCs w:val="24"/>
        </w:rPr>
        <w:t xml:space="preserve">Is the workload </w:t>
      </w:r>
      <w:r w:rsidR="00162150">
        <w:rPr>
          <w:rFonts w:ascii="Times New Roman" w:hAnsi="Times New Roman" w:cs="Times New Roman"/>
          <w:sz w:val="24"/>
          <w:szCs w:val="24"/>
        </w:rPr>
        <w:t>greater</w:t>
      </w:r>
      <w:r>
        <w:rPr>
          <w:rFonts w:ascii="Times New Roman" w:hAnsi="Times New Roman" w:cs="Times New Roman"/>
          <w:sz w:val="24"/>
          <w:szCs w:val="24"/>
        </w:rPr>
        <w:t xml:space="preserve"> for a hybrid conference, than an in-person </w:t>
      </w:r>
      <w:r w:rsidR="00162150">
        <w:rPr>
          <w:rFonts w:ascii="Times New Roman" w:hAnsi="Times New Roman" w:cs="Times New Roman"/>
          <w:sz w:val="24"/>
          <w:szCs w:val="24"/>
        </w:rPr>
        <w:t xml:space="preserve">or virtual </w:t>
      </w:r>
      <w:r>
        <w:rPr>
          <w:rFonts w:ascii="Times New Roman" w:hAnsi="Times New Roman" w:cs="Times New Roman"/>
          <w:sz w:val="24"/>
          <w:szCs w:val="24"/>
        </w:rPr>
        <w:t xml:space="preserve">one? It depends. </w:t>
      </w:r>
      <w:r w:rsidR="000375D0">
        <w:rPr>
          <w:rFonts w:ascii="Times New Roman" w:hAnsi="Times New Roman" w:cs="Times New Roman"/>
          <w:sz w:val="24"/>
          <w:szCs w:val="24"/>
        </w:rPr>
        <w:t xml:space="preserve">Having </w:t>
      </w:r>
      <w:r w:rsidR="00162150">
        <w:rPr>
          <w:rFonts w:ascii="Times New Roman" w:hAnsi="Times New Roman" w:cs="Times New Roman"/>
          <w:sz w:val="24"/>
          <w:szCs w:val="24"/>
        </w:rPr>
        <w:t>been a convenor, presenter and attendee</w:t>
      </w:r>
      <w:r w:rsidR="000375D0">
        <w:rPr>
          <w:rFonts w:ascii="Times New Roman" w:hAnsi="Times New Roman" w:cs="Times New Roman"/>
          <w:sz w:val="24"/>
          <w:szCs w:val="24"/>
        </w:rPr>
        <w:t xml:space="preserve"> </w:t>
      </w:r>
      <w:r w:rsidR="00162150">
        <w:rPr>
          <w:rFonts w:ascii="Times New Roman" w:hAnsi="Times New Roman" w:cs="Times New Roman"/>
          <w:sz w:val="24"/>
          <w:szCs w:val="24"/>
        </w:rPr>
        <w:t xml:space="preserve">for </w:t>
      </w:r>
      <w:r w:rsidR="000375D0">
        <w:rPr>
          <w:rFonts w:ascii="Times New Roman" w:hAnsi="Times New Roman" w:cs="Times New Roman"/>
          <w:sz w:val="24"/>
          <w:szCs w:val="24"/>
        </w:rPr>
        <w:t xml:space="preserve">dozens of </w:t>
      </w:r>
      <w:r w:rsidR="007C4D3D">
        <w:rPr>
          <w:rFonts w:ascii="Times New Roman" w:hAnsi="Times New Roman" w:cs="Times New Roman"/>
          <w:sz w:val="24"/>
          <w:szCs w:val="24"/>
        </w:rPr>
        <w:t xml:space="preserve">virtual, hybrid and in-person events of varying scales over the past decade, </w:t>
      </w:r>
      <w:r w:rsidR="003D69ED">
        <w:rPr>
          <w:rFonts w:ascii="Times New Roman" w:hAnsi="Times New Roman" w:cs="Times New Roman"/>
          <w:sz w:val="24"/>
          <w:szCs w:val="24"/>
        </w:rPr>
        <w:t>my own</w:t>
      </w:r>
      <w:r w:rsidR="007C4D3D">
        <w:rPr>
          <w:rFonts w:ascii="Times New Roman" w:hAnsi="Times New Roman" w:cs="Times New Roman"/>
          <w:sz w:val="24"/>
          <w:szCs w:val="24"/>
        </w:rPr>
        <w:t xml:space="preserve"> </w:t>
      </w:r>
      <w:r w:rsidR="00753B08">
        <w:rPr>
          <w:rFonts w:ascii="Times New Roman" w:hAnsi="Times New Roman" w:cs="Times New Roman"/>
          <w:sz w:val="24"/>
          <w:szCs w:val="24"/>
        </w:rPr>
        <w:t xml:space="preserve">answer is: ‘marginally, if that.’ Certainly, the workload </w:t>
      </w:r>
      <w:r w:rsidR="00162150">
        <w:rPr>
          <w:rFonts w:ascii="Times New Roman" w:hAnsi="Times New Roman" w:cs="Times New Roman"/>
          <w:sz w:val="24"/>
          <w:szCs w:val="24"/>
        </w:rPr>
        <w:t>differs</w:t>
      </w:r>
      <w:r w:rsidR="00753B08">
        <w:rPr>
          <w:rFonts w:ascii="Times New Roman" w:hAnsi="Times New Roman" w:cs="Times New Roman"/>
          <w:sz w:val="24"/>
          <w:szCs w:val="24"/>
        </w:rPr>
        <w:t xml:space="preserve">: more planning is required to </w:t>
      </w:r>
      <w:r w:rsidR="00884CDE">
        <w:rPr>
          <w:rFonts w:ascii="Times New Roman" w:hAnsi="Times New Roman" w:cs="Times New Roman"/>
          <w:sz w:val="24"/>
          <w:szCs w:val="24"/>
        </w:rPr>
        <w:t>anticipate problems</w:t>
      </w:r>
      <w:r w:rsidR="00614710">
        <w:rPr>
          <w:rFonts w:ascii="Times New Roman" w:hAnsi="Times New Roman" w:cs="Times New Roman"/>
          <w:sz w:val="24"/>
          <w:szCs w:val="24"/>
        </w:rPr>
        <w:t xml:space="preserve">, </w:t>
      </w:r>
      <w:r w:rsidR="00884CDE">
        <w:rPr>
          <w:rFonts w:ascii="Times New Roman" w:hAnsi="Times New Roman" w:cs="Times New Roman"/>
          <w:sz w:val="24"/>
          <w:szCs w:val="24"/>
        </w:rPr>
        <w:t>to enhance the virtual experience</w:t>
      </w:r>
      <w:r w:rsidR="00614710">
        <w:rPr>
          <w:rFonts w:ascii="Times New Roman" w:hAnsi="Times New Roman" w:cs="Times New Roman"/>
          <w:sz w:val="24"/>
          <w:szCs w:val="24"/>
        </w:rPr>
        <w:t xml:space="preserve"> and </w:t>
      </w:r>
      <w:r w:rsidR="009222CC">
        <w:rPr>
          <w:rFonts w:ascii="Times New Roman" w:hAnsi="Times New Roman" w:cs="Times New Roman"/>
          <w:sz w:val="24"/>
          <w:szCs w:val="24"/>
        </w:rPr>
        <w:t>to</w:t>
      </w:r>
      <w:r w:rsidR="00AF7B9B">
        <w:rPr>
          <w:rFonts w:ascii="Times New Roman" w:hAnsi="Times New Roman" w:cs="Times New Roman"/>
          <w:sz w:val="24"/>
          <w:szCs w:val="24"/>
        </w:rPr>
        <w:t xml:space="preserve"> genuinely</w:t>
      </w:r>
      <w:r w:rsidR="009222CC">
        <w:rPr>
          <w:rFonts w:ascii="Times New Roman" w:hAnsi="Times New Roman" w:cs="Times New Roman"/>
          <w:sz w:val="24"/>
          <w:szCs w:val="24"/>
        </w:rPr>
        <w:t xml:space="preserve"> integrate the participants. </w:t>
      </w:r>
      <w:r w:rsidR="00F02A0B">
        <w:rPr>
          <w:rFonts w:ascii="Times New Roman" w:hAnsi="Times New Roman" w:cs="Times New Roman"/>
          <w:sz w:val="24"/>
          <w:szCs w:val="24"/>
        </w:rPr>
        <w:t xml:space="preserve">Equally, the in-person event can be bedevilled </w:t>
      </w:r>
      <w:r w:rsidR="00162150">
        <w:rPr>
          <w:rFonts w:ascii="Times New Roman" w:hAnsi="Times New Roman" w:cs="Times New Roman"/>
          <w:sz w:val="24"/>
          <w:szCs w:val="24"/>
        </w:rPr>
        <w:t>by</w:t>
      </w:r>
      <w:r w:rsidR="00F02A0B">
        <w:rPr>
          <w:rFonts w:ascii="Times New Roman" w:hAnsi="Times New Roman" w:cs="Times New Roman"/>
          <w:sz w:val="24"/>
          <w:szCs w:val="24"/>
        </w:rPr>
        <w:t xml:space="preserve"> logistical difficulties</w:t>
      </w:r>
      <w:r w:rsidR="00F52B26">
        <w:rPr>
          <w:rFonts w:ascii="Times New Roman" w:hAnsi="Times New Roman" w:cs="Times New Roman"/>
          <w:sz w:val="24"/>
          <w:szCs w:val="24"/>
        </w:rPr>
        <w:t xml:space="preserve">, particularly </w:t>
      </w:r>
      <w:r w:rsidR="006A272B">
        <w:rPr>
          <w:rFonts w:ascii="Times New Roman" w:hAnsi="Times New Roman" w:cs="Times New Roman"/>
          <w:sz w:val="24"/>
          <w:szCs w:val="24"/>
        </w:rPr>
        <w:t>high costs</w:t>
      </w:r>
      <w:r w:rsidR="00F52B26">
        <w:rPr>
          <w:rFonts w:ascii="Times New Roman" w:hAnsi="Times New Roman" w:cs="Times New Roman"/>
          <w:sz w:val="24"/>
          <w:szCs w:val="24"/>
        </w:rPr>
        <w:t xml:space="preserve">, </w:t>
      </w:r>
      <w:r w:rsidR="0087429B">
        <w:rPr>
          <w:rFonts w:ascii="Times New Roman" w:hAnsi="Times New Roman" w:cs="Times New Roman"/>
          <w:sz w:val="24"/>
          <w:szCs w:val="24"/>
        </w:rPr>
        <w:t xml:space="preserve">transport </w:t>
      </w:r>
      <w:r w:rsidR="00AF7B9B">
        <w:rPr>
          <w:rFonts w:ascii="Times New Roman" w:hAnsi="Times New Roman" w:cs="Times New Roman"/>
          <w:sz w:val="24"/>
          <w:szCs w:val="24"/>
        </w:rPr>
        <w:t xml:space="preserve">disruptions </w:t>
      </w:r>
      <w:r w:rsidR="0087429B">
        <w:rPr>
          <w:rFonts w:ascii="Times New Roman" w:hAnsi="Times New Roman" w:cs="Times New Roman"/>
          <w:sz w:val="24"/>
          <w:szCs w:val="24"/>
        </w:rPr>
        <w:t xml:space="preserve">and </w:t>
      </w:r>
      <w:r w:rsidR="00AF7B9B">
        <w:rPr>
          <w:rFonts w:ascii="Times New Roman" w:hAnsi="Times New Roman" w:cs="Times New Roman"/>
          <w:sz w:val="24"/>
          <w:szCs w:val="24"/>
        </w:rPr>
        <w:t xml:space="preserve">last-minute </w:t>
      </w:r>
      <w:r w:rsidR="00162150">
        <w:rPr>
          <w:rFonts w:ascii="Times New Roman" w:hAnsi="Times New Roman" w:cs="Times New Roman"/>
          <w:sz w:val="24"/>
          <w:szCs w:val="24"/>
        </w:rPr>
        <w:t xml:space="preserve">speaker </w:t>
      </w:r>
      <w:r w:rsidR="0087429B">
        <w:rPr>
          <w:rFonts w:ascii="Times New Roman" w:hAnsi="Times New Roman" w:cs="Times New Roman"/>
          <w:sz w:val="24"/>
          <w:szCs w:val="24"/>
        </w:rPr>
        <w:t xml:space="preserve">withdrawals. </w:t>
      </w:r>
      <w:r w:rsidR="001B5067">
        <w:rPr>
          <w:rFonts w:ascii="Times New Roman" w:hAnsi="Times New Roman" w:cs="Times New Roman"/>
          <w:sz w:val="24"/>
          <w:szCs w:val="24"/>
        </w:rPr>
        <w:t xml:space="preserve">For organisers starting from a lower base of technical knowledge and experience, the </w:t>
      </w:r>
      <w:r w:rsidR="00705637">
        <w:rPr>
          <w:rFonts w:ascii="Times New Roman" w:hAnsi="Times New Roman" w:cs="Times New Roman"/>
          <w:sz w:val="24"/>
          <w:szCs w:val="24"/>
        </w:rPr>
        <w:t>higher</w:t>
      </w:r>
      <w:r w:rsidR="001B5067">
        <w:rPr>
          <w:rFonts w:ascii="Times New Roman" w:hAnsi="Times New Roman" w:cs="Times New Roman"/>
          <w:sz w:val="24"/>
          <w:szCs w:val="24"/>
        </w:rPr>
        <w:t xml:space="preserve"> learning curve must </w:t>
      </w:r>
      <w:r w:rsidR="00705637">
        <w:rPr>
          <w:rFonts w:ascii="Times New Roman" w:hAnsi="Times New Roman" w:cs="Times New Roman"/>
          <w:sz w:val="24"/>
          <w:szCs w:val="24"/>
        </w:rPr>
        <w:t>be factored</w:t>
      </w:r>
      <w:r w:rsidR="00FD5FEC">
        <w:rPr>
          <w:rFonts w:ascii="Times New Roman" w:hAnsi="Times New Roman" w:cs="Times New Roman"/>
          <w:sz w:val="24"/>
          <w:szCs w:val="24"/>
        </w:rPr>
        <w:t xml:space="preserve">. For example, </w:t>
      </w:r>
      <w:r w:rsidR="006A272B">
        <w:rPr>
          <w:rFonts w:ascii="Times New Roman" w:hAnsi="Times New Roman" w:cs="Times New Roman"/>
          <w:sz w:val="24"/>
          <w:szCs w:val="24"/>
        </w:rPr>
        <w:t xml:space="preserve">we </w:t>
      </w:r>
      <w:r w:rsidR="00FD5FEC">
        <w:rPr>
          <w:rFonts w:ascii="Times New Roman" w:hAnsi="Times New Roman" w:cs="Times New Roman"/>
          <w:sz w:val="24"/>
          <w:szCs w:val="24"/>
        </w:rPr>
        <w:t xml:space="preserve">were able to run the virtual platform without the </w:t>
      </w:r>
      <w:r w:rsidR="00512E24">
        <w:rPr>
          <w:rFonts w:ascii="Times New Roman" w:hAnsi="Times New Roman" w:cs="Times New Roman"/>
          <w:sz w:val="24"/>
          <w:szCs w:val="24"/>
        </w:rPr>
        <w:t>luxury</w:t>
      </w:r>
      <w:r w:rsidR="00FD5FEC">
        <w:rPr>
          <w:rFonts w:ascii="Times New Roman" w:hAnsi="Times New Roman" w:cs="Times New Roman"/>
          <w:sz w:val="24"/>
          <w:szCs w:val="24"/>
        </w:rPr>
        <w:t xml:space="preserve"> of an</w:t>
      </w:r>
      <w:r w:rsidR="00CA5527">
        <w:rPr>
          <w:rFonts w:ascii="Times New Roman" w:hAnsi="Times New Roman" w:cs="Times New Roman"/>
          <w:sz w:val="24"/>
          <w:szCs w:val="24"/>
        </w:rPr>
        <w:t xml:space="preserve"> on-hand</w:t>
      </w:r>
      <w:r w:rsidR="00FD5FEC">
        <w:rPr>
          <w:rFonts w:ascii="Times New Roman" w:hAnsi="Times New Roman" w:cs="Times New Roman"/>
          <w:sz w:val="24"/>
          <w:szCs w:val="24"/>
        </w:rPr>
        <w:t xml:space="preserve"> IT technician</w:t>
      </w:r>
      <w:r w:rsidR="00CA5527">
        <w:rPr>
          <w:rFonts w:ascii="Times New Roman" w:hAnsi="Times New Roman" w:cs="Times New Roman"/>
          <w:sz w:val="24"/>
          <w:szCs w:val="24"/>
        </w:rPr>
        <w:t xml:space="preserve">. </w:t>
      </w:r>
    </w:p>
    <w:p w14:paraId="66DA6CE8" w14:textId="1FC5EE7E" w:rsidR="00375480" w:rsidRDefault="0039224E" w:rsidP="004856C9">
      <w:pPr>
        <w:jc w:val="both"/>
        <w:rPr>
          <w:rFonts w:ascii="Times New Roman" w:hAnsi="Times New Roman" w:cs="Times New Roman"/>
          <w:sz w:val="24"/>
          <w:szCs w:val="24"/>
          <w:u w:val="single"/>
        </w:rPr>
      </w:pPr>
      <w:r>
        <w:rPr>
          <w:rFonts w:ascii="Times New Roman" w:hAnsi="Times New Roman" w:cs="Times New Roman"/>
          <w:sz w:val="24"/>
          <w:szCs w:val="24"/>
          <w:u w:val="single"/>
        </w:rPr>
        <w:t>Convening Power</w:t>
      </w:r>
    </w:p>
    <w:p w14:paraId="7B5FE86F" w14:textId="10704176" w:rsidR="009A5552" w:rsidRDefault="00FD7F0C" w:rsidP="004856C9">
      <w:pPr>
        <w:jc w:val="both"/>
        <w:rPr>
          <w:rFonts w:ascii="Times New Roman" w:hAnsi="Times New Roman" w:cs="Times New Roman"/>
          <w:sz w:val="24"/>
          <w:szCs w:val="24"/>
        </w:rPr>
      </w:pPr>
      <w:r>
        <w:rPr>
          <w:rFonts w:ascii="Times New Roman" w:hAnsi="Times New Roman" w:cs="Times New Roman"/>
          <w:sz w:val="24"/>
          <w:szCs w:val="24"/>
        </w:rPr>
        <w:t xml:space="preserve">In making these design choices, we took risks. We could not know how great </w:t>
      </w:r>
      <w:r w:rsidR="00D30840">
        <w:rPr>
          <w:rFonts w:ascii="Times New Roman" w:hAnsi="Times New Roman" w:cs="Times New Roman"/>
          <w:sz w:val="24"/>
          <w:szCs w:val="24"/>
        </w:rPr>
        <w:t>the demand for such an event might be</w:t>
      </w:r>
      <w:r>
        <w:rPr>
          <w:rFonts w:ascii="Times New Roman" w:hAnsi="Times New Roman" w:cs="Times New Roman"/>
          <w:sz w:val="24"/>
          <w:szCs w:val="24"/>
        </w:rPr>
        <w:t xml:space="preserve"> or how people might </w:t>
      </w:r>
      <w:r w:rsidR="00847CC8">
        <w:rPr>
          <w:rFonts w:ascii="Times New Roman" w:hAnsi="Times New Roman" w:cs="Times New Roman"/>
          <w:sz w:val="24"/>
          <w:szCs w:val="24"/>
        </w:rPr>
        <w:t xml:space="preserve">react to </w:t>
      </w:r>
      <w:r w:rsidR="007B3C7E">
        <w:rPr>
          <w:rFonts w:ascii="Times New Roman" w:hAnsi="Times New Roman" w:cs="Times New Roman"/>
          <w:sz w:val="24"/>
          <w:szCs w:val="24"/>
        </w:rPr>
        <w:t>enquiries, requests and suggestions from us about their personal travel plans</w:t>
      </w:r>
      <w:r w:rsidR="00462826">
        <w:rPr>
          <w:rFonts w:ascii="Times New Roman" w:hAnsi="Times New Roman" w:cs="Times New Roman"/>
          <w:sz w:val="24"/>
          <w:szCs w:val="24"/>
        </w:rPr>
        <w:t xml:space="preserve"> – by far, the largest emission category</w:t>
      </w:r>
      <w:r w:rsidR="00705637">
        <w:rPr>
          <w:rFonts w:ascii="Times New Roman" w:hAnsi="Times New Roman" w:cs="Times New Roman"/>
          <w:sz w:val="24"/>
          <w:szCs w:val="24"/>
        </w:rPr>
        <w:t xml:space="preserve"> of the great majority of conferences</w:t>
      </w:r>
      <w:r w:rsidR="007B3C7E">
        <w:rPr>
          <w:rFonts w:ascii="Times New Roman" w:hAnsi="Times New Roman" w:cs="Times New Roman"/>
          <w:sz w:val="24"/>
          <w:szCs w:val="24"/>
        </w:rPr>
        <w:t xml:space="preserve">. The </w:t>
      </w:r>
      <w:r w:rsidR="0027542B">
        <w:rPr>
          <w:rFonts w:ascii="Times New Roman" w:hAnsi="Times New Roman" w:cs="Times New Roman"/>
          <w:sz w:val="24"/>
          <w:szCs w:val="24"/>
        </w:rPr>
        <w:t xml:space="preserve">overwhelmingly-positive </w:t>
      </w:r>
      <w:r w:rsidR="007B3C7E">
        <w:rPr>
          <w:rFonts w:ascii="Times New Roman" w:hAnsi="Times New Roman" w:cs="Times New Roman"/>
          <w:sz w:val="24"/>
          <w:szCs w:val="24"/>
        </w:rPr>
        <w:t xml:space="preserve">response was at once inspiring and humbling. </w:t>
      </w:r>
      <w:r w:rsidR="0027542B">
        <w:rPr>
          <w:rFonts w:ascii="Times New Roman" w:hAnsi="Times New Roman" w:cs="Times New Roman"/>
          <w:sz w:val="24"/>
          <w:szCs w:val="24"/>
        </w:rPr>
        <w:t xml:space="preserve">If </w:t>
      </w:r>
      <w:r w:rsidR="00D30840">
        <w:rPr>
          <w:rFonts w:ascii="Times New Roman" w:hAnsi="Times New Roman" w:cs="Times New Roman"/>
          <w:sz w:val="24"/>
          <w:szCs w:val="24"/>
        </w:rPr>
        <w:t xml:space="preserve">people </w:t>
      </w:r>
      <w:r w:rsidR="00F3577F">
        <w:rPr>
          <w:rFonts w:ascii="Times New Roman" w:hAnsi="Times New Roman" w:cs="Times New Roman"/>
          <w:sz w:val="24"/>
          <w:szCs w:val="24"/>
        </w:rPr>
        <w:t xml:space="preserve">– </w:t>
      </w:r>
      <w:r w:rsidR="00D30840">
        <w:rPr>
          <w:rFonts w:ascii="Times New Roman" w:hAnsi="Times New Roman" w:cs="Times New Roman"/>
          <w:sz w:val="24"/>
          <w:szCs w:val="24"/>
        </w:rPr>
        <w:t>particularly contrarian lawyers and academics</w:t>
      </w:r>
      <w:r w:rsidR="00F3577F">
        <w:rPr>
          <w:rFonts w:ascii="Times New Roman" w:hAnsi="Times New Roman" w:cs="Times New Roman"/>
          <w:sz w:val="24"/>
          <w:szCs w:val="24"/>
        </w:rPr>
        <w:t xml:space="preserve"> – </w:t>
      </w:r>
      <w:r w:rsidR="0027542B">
        <w:rPr>
          <w:rFonts w:ascii="Times New Roman" w:hAnsi="Times New Roman" w:cs="Times New Roman"/>
          <w:sz w:val="24"/>
          <w:szCs w:val="24"/>
        </w:rPr>
        <w:t xml:space="preserve">might have resented such an approach even ten years ago, </w:t>
      </w:r>
      <w:r w:rsidR="00D30840">
        <w:rPr>
          <w:rFonts w:ascii="Times New Roman" w:hAnsi="Times New Roman" w:cs="Times New Roman"/>
          <w:sz w:val="24"/>
          <w:szCs w:val="24"/>
        </w:rPr>
        <w:t xml:space="preserve">this is no longer the case. To the contrary, there was a widespread willingness to </w:t>
      </w:r>
      <w:r w:rsidR="00CD7458">
        <w:rPr>
          <w:rFonts w:ascii="Times New Roman" w:hAnsi="Times New Roman" w:cs="Times New Roman"/>
          <w:sz w:val="24"/>
          <w:szCs w:val="24"/>
        </w:rPr>
        <w:t xml:space="preserve">respond to the efforts being made, </w:t>
      </w:r>
      <w:r w:rsidR="00F85B96">
        <w:rPr>
          <w:rFonts w:ascii="Times New Roman" w:hAnsi="Times New Roman" w:cs="Times New Roman"/>
          <w:sz w:val="24"/>
          <w:szCs w:val="24"/>
        </w:rPr>
        <w:t>backed</w:t>
      </w:r>
      <w:r w:rsidR="00CD7458">
        <w:rPr>
          <w:rFonts w:ascii="Times New Roman" w:hAnsi="Times New Roman" w:cs="Times New Roman"/>
          <w:sz w:val="24"/>
          <w:szCs w:val="24"/>
        </w:rPr>
        <w:t xml:space="preserve"> by </w:t>
      </w:r>
      <w:r w:rsidR="00F85B96">
        <w:rPr>
          <w:rFonts w:ascii="Times New Roman" w:hAnsi="Times New Roman" w:cs="Times New Roman"/>
          <w:sz w:val="24"/>
          <w:szCs w:val="24"/>
        </w:rPr>
        <w:t xml:space="preserve">concrete </w:t>
      </w:r>
      <w:r w:rsidR="00CD7458">
        <w:rPr>
          <w:rFonts w:ascii="Times New Roman" w:hAnsi="Times New Roman" w:cs="Times New Roman"/>
          <w:sz w:val="24"/>
          <w:szCs w:val="24"/>
        </w:rPr>
        <w:t xml:space="preserve">action: </w:t>
      </w:r>
      <w:r w:rsidR="0051220D">
        <w:rPr>
          <w:rFonts w:ascii="Times New Roman" w:hAnsi="Times New Roman" w:cs="Times New Roman"/>
          <w:sz w:val="24"/>
          <w:szCs w:val="24"/>
        </w:rPr>
        <w:t>multiple</w:t>
      </w:r>
      <w:r w:rsidR="00665D05">
        <w:rPr>
          <w:rFonts w:ascii="Times New Roman" w:hAnsi="Times New Roman" w:cs="Times New Roman"/>
          <w:sz w:val="24"/>
          <w:szCs w:val="24"/>
        </w:rPr>
        <w:t xml:space="preserve"> </w:t>
      </w:r>
      <w:r w:rsidR="0051220D">
        <w:rPr>
          <w:rFonts w:ascii="Times New Roman" w:hAnsi="Times New Roman" w:cs="Times New Roman"/>
          <w:sz w:val="24"/>
          <w:szCs w:val="24"/>
        </w:rPr>
        <w:t>delegates</w:t>
      </w:r>
      <w:r w:rsidR="00665D05">
        <w:rPr>
          <w:rFonts w:ascii="Times New Roman" w:hAnsi="Times New Roman" w:cs="Times New Roman"/>
          <w:sz w:val="24"/>
          <w:szCs w:val="24"/>
        </w:rPr>
        <w:t xml:space="preserve"> notified us that </w:t>
      </w:r>
      <w:r w:rsidR="0051220D">
        <w:rPr>
          <w:rFonts w:ascii="Times New Roman" w:hAnsi="Times New Roman" w:cs="Times New Roman"/>
          <w:sz w:val="24"/>
          <w:szCs w:val="24"/>
        </w:rPr>
        <w:t>they</w:t>
      </w:r>
      <w:r w:rsidR="00665D05">
        <w:rPr>
          <w:rFonts w:ascii="Times New Roman" w:hAnsi="Times New Roman" w:cs="Times New Roman"/>
          <w:sz w:val="24"/>
          <w:szCs w:val="24"/>
        </w:rPr>
        <w:t xml:space="preserve"> would switch from automobile to train, several car-sharing arrangements were</w:t>
      </w:r>
      <w:r w:rsidR="0051220D">
        <w:rPr>
          <w:rFonts w:ascii="Times New Roman" w:hAnsi="Times New Roman" w:cs="Times New Roman"/>
          <w:sz w:val="24"/>
          <w:szCs w:val="24"/>
        </w:rPr>
        <w:t xml:space="preserve"> evidently</w:t>
      </w:r>
      <w:r w:rsidR="00665D05">
        <w:rPr>
          <w:rFonts w:ascii="Times New Roman" w:hAnsi="Times New Roman" w:cs="Times New Roman"/>
          <w:sz w:val="24"/>
          <w:szCs w:val="24"/>
        </w:rPr>
        <w:t xml:space="preserve"> made and </w:t>
      </w:r>
      <w:r w:rsidR="00F85B96">
        <w:rPr>
          <w:rFonts w:ascii="Times New Roman" w:hAnsi="Times New Roman" w:cs="Times New Roman"/>
          <w:sz w:val="24"/>
          <w:szCs w:val="24"/>
        </w:rPr>
        <w:t>numerous</w:t>
      </w:r>
      <w:r w:rsidR="00AE2CD1">
        <w:rPr>
          <w:rFonts w:ascii="Times New Roman" w:hAnsi="Times New Roman" w:cs="Times New Roman"/>
          <w:sz w:val="24"/>
          <w:szCs w:val="24"/>
        </w:rPr>
        <w:t xml:space="preserve"> </w:t>
      </w:r>
      <w:r w:rsidR="00F85B96">
        <w:rPr>
          <w:rFonts w:ascii="Times New Roman" w:hAnsi="Times New Roman" w:cs="Times New Roman"/>
          <w:sz w:val="24"/>
          <w:szCs w:val="24"/>
        </w:rPr>
        <w:t xml:space="preserve">speakers and </w:t>
      </w:r>
      <w:r w:rsidR="00AE2CD1">
        <w:rPr>
          <w:rFonts w:ascii="Times New Roman" w:hAnsi="Times New Roman" w:cs="Times New Roman"/>
          <w:sz w:val="24"/>
          <w:szCs w:val="24"/>
        </w:rPr>
        <w:t xml:space="preserve">delegates wrote to us to express their appreciation for our emission-reduction efforts. </w:t>
      </w:r>
    </w:p>
    <w:p w14:paraId="3BF6D138" w14:textId="36D94EC7" w:rsidR="0039224E" w:rsidRDefault="0051220D" w:rsidP="004856C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 terms of intellectual output, I can </w:t>
      </w:r>
      <w:r w:rsidR="00AF5668">
        <w:rPr>
          <w:rFonts w:ascii="Times New Roman" w:hAnsi="Times New Roman" w:cs="Times New Roman"/>
          <w:sz w:val="24"/>
          <w:szCs w:val="24"/>
        </w:rPr>
        <w:t>attest</w:t>
      </w:r>
      <w:r>
        <w:rPr>
          <w:rFonts w:ascii="Times New Roman" w:hAnsi="Times New Roman" w:cs="Times New Roman"/>
          <w:sz w:val="24"/>
          <w:szCs w:val="24"/>
        </w:rPr>
        <w:t xml:space="preserve"> that </w:t>
      </w:r>
      <w:r w:rsidR="003A2B0D">
        <w:rPr>
          <w:rFonts w:ascii="Times New Roman" w:hAnsi="Times New Roman" w:cs="Times New Roman"/>
          <w:sz w:val="24"/>
          <w:szCs w:val="24"/>
        </w:rPr>
        <w:t xml:space="preserve">the </w:t>
      </w:r>
      <w:r w:rsidR="00AF5668">
        <w:rPr>
          <w:rFonts w:ascii="Times New Roman" w:hAnsi="Times New Roman" w:cs="Times New Roman"/>
          <w:sz w:val="24"/>
          <w:szCs w:val="24"/>
        </w:rPr>
        <w:t xml:space="preserve">hybrid </w:t>
      </w:r>
      <w:r w:rsidR="003A2B0D">
        <w:rPr>
          <w:rFonts w:ascii="Times New Roman" w:hAnsi="Times New Roman" w:cs="Times New Roman"/>
          <w:sz w:val="24"/>
          <w:szCs w:val="24"/>
        </w:rPr>
        <w:t xml:space="preserve">format certainly did not hinder the high standard on display; if anything, when it came to the ‘round-table’ session, it might even </w:t>
      </w:r>
      <w:r w:rsidR="00F85B96">
        <w:rPr>
          <w:rFonts w:ascii="Times New Roman" w:hAnsi="Times New Roman" w:cs="Times New Roman"/>
          <w:sz w:val="24"/>
          <w:szCs w:val="24"/>
        </w:rPr>
        <w:t xml:space="preserve">have </w:t>
      </w:r>
      <w:r w:rsidR="003A2B0D">
        <w:rPr>
          <w:rFonts w:ascii="Times New Roman" w:hAnsi="Times New Roman" w:cs="Times New Roman"/>
          <w:sz w:val="24"/>
          <w:szCs w:val="24"/>
        </w:rPr>
        <w:t>enhanced it.</w:t>
      </w:r>
      <w:r w:rsidR="00F85B96">
        <w:rPr>
          <w:rFonts w:ascii="Times New Roman" w:hAnsi="Times New Roman" w:cs="Times New Roman"/>
          <w:sz w:val="24"/>
          <w:szCs w:val="24"/>
        </w:rPr>
        <w:t xml:space="preserve"> W</w:t>
      </w:r>
      <w:r w:rsidR="003A2B0D">
        <w:rPr>
          <w:rFonts w:ascii="Times New Roman" w:hAnsi="Times New Roman" w:cs="Times New Roman"/>
          <w:sz w:val="24"/>
          <w:szCs w:val="24"/>
        </w:rPr>
        <w:t xml:space="preserve">hat </w:t>
      </w:r>
      <w:r w:rsidR="00F85B96">
        <w:rPr>
          <w:rFonts w:ascii="Times New Roman" w:hAnsi="Times New Roman" w:cs="Times New Roman"/>
          <w:sz w:val="24"/>
          <w:szCs w:val="24"/>
        </w:rPr>
        <w:t xml:space="preserve">to make </w:t>
      </w:r>
      <w:r w:rsidR="003A2B0D">
        <w:rPr>
          <w:rFonts w:ascii="Times New Roman" w:hAnsi="Times New Roman" w:cs="Times New Roman"/>
          <w:sz w:val="24"/>
          <w:szCs w:val="24"/>
        </w:rPr>
        <w:t>of the</w:t>
      </w:r>
      <w:r w:rsidR="003C1FC0">
        <w:rPr>
          <w:rFonts w:ascii="Times New Roman" w:hAnsi="Times New Roman" w:cs="Times New Roman"/>
          <w:sz w:val="24"/>
          <w:szCs w:val="24"/>
        </w:rPr>
        <w:t xml:space="preserve"> lower </w:t>
      </w:r>
      <w:r w:rsidR="003A2B0D">
        <w:rPr>
          <w:rFonts w:ascii="Times New Roman" w:hAnsi="Times New Roman" w:cs="Times New Roman"/>
          <w:sz w:val="24"/>
          <w:szCs w:val="24"/>
        </w:rPr>
        <w:t xml:space="preserve">actual </w:t>
      </w:r>
      <w:r w:rsidR="006C39B8">
        <w:rPr>
          <w:rFonts w:ascii="Times New Roman" w:hAnsi="Times New Roman" w:cs="Times New Roman"/>
          <w:sz w:val="24"/>
          <w:szCs w:val="24"/>
        </w:rPr>
        <w:t>attendance levels</w:t>
      </w:r>
      <w:r w:rsidR="003C1FC0">
        <w:rPr>
          <w:rFonts w:ascii="Times New Roman" w:hAnsi="Times New Roman" w:cs="Times New Roman"/>
          <w:sz w:val="24"/>
          <w:szCs w:val="24"/>
        </w:rPr>
        <w:t xml:space="preserve"> relative to registrations</w:t>
      </w:r>
      <w:r w:rsidR="003A2B0D">
        <w:rPr>
          <w:rFonts w:ascii="Times New Roman" w:hAnsi="Times New Roman" w:cs="Times New Roman"/>
          <w:sz w:val="24"/>
          <w:szCs w:val="24"/>
        </w:rPr>
        <w:t>? T</w:t>
      </w:r>
      <w:r w:rsidR="006C39B8">
        <w:rPr>
          <w:rFonts w:ascii="Times New Roman" w:hAnsi="Times New Roman" w:cs="Times New Roman"/>
          <w:sz w:val="24"/>
          <w:szCs w:val="24"/>
        </w:rPr>
        <w:t>his is</w:t>
      </w:r>
      <w:r w:rsidR="00FC70D7">
        <w:rPr>
          <w:rFonts w:ascii="Times New Roman" w:hAnsi="Times New Roman" w:cs="Times New Roman"/>
          <w:sz w:val="24"/>
          <w:szCs w:val="24"/>
        </w:rPr>
        <w:t xml:space="preserve"> a fact-of-life for conferences of any mode due </w:t>
      </w:r>
      <w:r w:rsidR="003C1FC0">
        <w:rPr>
          <w:rFonts w:ascii="Times New Roman" w:hAnsi="Times New Roman" w:cs="Times New Roman"/>
          <w:sz w:val="24"/>
          <w:szCs w:val="24"/>
        </w:rPr>
        <w:t xml:space="preserve">to personal circumstances, which the </w:t>
      </w:r>
      <w:r w:rsidR="00AF5668">
        <w:rPr>
          <w:rFonts w:ascii="Times New Roman" w:hAnsi="Times New Roman" w:cs="Times New Roman"/>
          <w:sz w:val="24"/>
          <w:szCs w:val="24"/>
        </w:rPr>
        <w:t>‘</w:t>
      </w:r>
      <w:r w:rsidR="003C1FC0">
        <w:rPr>
          <w:rFonts w:ascii="Times New Roman" w:hAnsi="Times New Roman" w:cs="Times New Roman"/>
          <w:sz w:val="24"/>
          <w:szCs w:val="24"/>
        </w:rPr>
        <w:t>remote option</w:t>
      </w:r>
      <w:r w:rsidR="00AF5668">
        <w:rPr>
          <w:rFonts w:ascii="Times New Roman" w:hAnsi="Times New Roman" w:cs="Times New Roman"/>
          <w:sz w:val="24"/>
          <w:szCs w:val="24"/>
        </w:rPr>
        <w:t>’</w:t>
      </w:r>
      <w:r w:rsidR="003C1FC0">
        <w:rPr>
          <w:rFonts w:ascii="Times New Roman" w:hAnsi="Times New Roman" w:cs="Times New Roman"/>
          <w:sz w:val="24"/>
          <w:szCs w:val="24"/>
        </w:rPr>
        <w:t xml:space="preserve"> helped to alleviate: in certain cases, we noticed </w:t>
      </w:r>
      <w:r w:rsidR="00C2514E">
        <w:rPr>
          <w:rFonts w:ascii="Times New Roman" w:hAnsi="Times New Roman" w:cs="Times New Roman"/>
          <w:sz w:val="24"/>
          <w:szCs w:val="24"/>
        </w:rPr>
        <w:t xml:space="preserve">remote attendees </w:t>
      </w:r>
      <w:r w:rsidR="00FC70D7">
        <w:rPr>
          <w:rFonts w:ascii="Times New Roman" w:hAnsi="Times New Roman" w:cs="Times New Roman"/>
          <w:sz w:val="24"/>
          <w:szCs w:val="24"/>
        </w:rPr>
        <w:t xml:space="preserve">joining for part of the day </w:t>
      </w:r>
      <w:r w:rsidR="003C1FC0">
        <w:rPr>
          <w:rFonts w:ascii="Times New Roman" w:hAnsi="Times New Roman" w:cs="Times New Roman"/>
          <w:sz w:val="24"/>
          <w:szCs w:val="24"/>
        </w:rPr>
        <w:t>who had registered to attend in-person</w:t>
      </w:r>
      <w:r w:rsidR="00C2514E">
        <w:rPr>
          <w:rFonts w:ascii="Times New Roman" w:hAnsi="Times New Roman" w:cs="Times New Roman"/>
          <w:sz w:val="24"/>
          <w:szCs w:val="24"/>
        </w:rPr>
        <w:t>. In an in-person-only format, they would not have been able to attend at all.</w:t>
      </w:r>
    </w:p>
    <w:p w14:paraId="24619F40" w14:textId="1F0751A4" w:rsidR="009B4E05" w:rsidRDefault="007676BA" w:rsidP="004856C9">
      <w:pPr>
        <w:jc w:val="both"/>
        <w:rPr>
          <w:rFonts w:ascii="Times New Roman" w:hAnsi="Times New Roman" w:cs="Times New Roman"/>
          <w:sz w:val="24"/>
          <w:szCs w:val="24"/>
        </w:rPr>
      </w:pPr>
      <w:r>
        <w:rPr>
          <w:rFonts w:ascii="Times New Roman" w:hAnsi="Times New Roman" w:cs="Times New Roman"/>
          <w:sz w:val="24"/>
          <w:szCs w:val="24"/>
        </w:rPr>
        <w:t>For me, the case for the hybrid conference</w:t>
      </w:r>
      <w:r w:rsidR="00C56463">
        <w:rPr>
          <w:rFonts w:ascii="Times New Roman" w:hAnsi="Times New Roman" w:cs="Times New Roman"/>
          <w:sz w:val="24"/>
          <w:szCs w:val="24"/>
        </w:rPr>
        <w:t xml:space="preserve"> </w:t>
      </w:r>
      <w:r w:rsidR="00C70929">
        <w:rPr>
          <w:rFonts w:ascii="Times New Roman" w:hAnsi="Times New Roman" w:cs="Times New Roman"/>
          <w:sz w:val="24"/>
          <w:szCs w:val="24"/>
        </w:rPr>
        <w:t xml:space="preserve">is proven </w:t>
      </w:r>
      <w:r w:rsidR="00C56463">
        <w:rPr>
          <w:rFonts w:ascii="Times New Roman" w:hAnsi="Times New Roman" w:cs="Times New Roman"/>
          <w:sz w:val="24"/>
          <w:szCs w:val="24"/>
        </w:rPr>
        <w:t>for the standing, large</w:t>
      </w:r>
      <w:r w:rsidR="00037812">
        <w:rPr>
          <w:rFonts w:ascii="Times New Roman" w:hAnsi="Times New Roman" w:cs="Times New Roman"/>
          <w:sz w:val="24"/>
          <w:szCs w:val="24"/>
        </w:rPr>
        <w:t xml:space="preserve">-scale </w:t>
      </w:r>
      <w:r w:rsidR="00AF5668">
        <w:rPr>
          <w:rFonts w:ascii="Times New Roman" w:hAnsi="Times New Roman" w:cs="Times New Roman"/>
          <w:sz w:val="24"/>
          <w:szCs w:val="24"/>
        </w:rPr>
        <w:t>events</w:t>
      </w:r>
      <w:r w:rsidR="00C56463">
        <w:rPr>
          <w:rFonts w:ascii="Times New Roman" w:hAnsi="Times New Roman" w:cs="Times New Roman"/>
          <w:sz w:val="24"/>
          <w:szCs w:val="24"/>
        </w:rPr>
        <w:t>, such as the SLS Annual Conference</w:t>
      </w:r>
      <w:r w:rsidR="00C70929">
        <w:rPr>
          <w:rFonts w:ascii="Times New Roman" w:hAnsi="Times New Roman" w:cs="Times New Roman"/>
          <w:sz w:val="24"/>
          <w:szCs w:val="24"/>
        </w:rPr>
        <w:t>, and medium-scale ones, such as workshops</w:t>
      </w:r>
      <w:r>
        <w:rPr>
          <w:rFonts w:ascii="Times New Roman" w:hAnsi="Times New Roman" w:cs="Times New Roman"/>
          <w:sz w:val="24"/>
          <w:szCs w:val="24"/>
        </w:rPr>
        <w:t xml:space="preserve">. </w:t>
      </w:r>
      <w:r w:rsidR="008D681F">
        <w:rPr>
          <w:rFonts w:ascii="Times New Roman" w:hAnsi="Times New Roman" w:cs="Times New Roman"/>
          <w:sz w:val="24"/>
          <w:szCs w:val="24"/>
        </w:rPr>
        <w:t>For smaller events,</w:t>
      </w:r>
      <w:r w:rsidR="009A25B6">
        <w:rPr>
          <w:rFonts w:ascii="Times New Roman" w:hAnsi="Times New Roman" w:cs="Times New Roman"/>
          <w:sz w:val="24"/>
          <w:szCs w:val="24"/>
        </w:rPr>
        <w:t xml:space="preserve"> such as</w:t>
      </w:r>
      <w:r w:rsidR="00C70929">
        <w:rPr>
          <w:rFonts w:ascii="Times New Roman" w:hAnsi="Times New Roman" w:cs="Times New Roman"/>
          <w:sz w:val="24"/>
          <w:szCs w:val="24"/>
        </w:rPr>
        <w:t xml:space="preserve"> evening</w:t>
      </w:r>
      <w:r w:rsidR="009A25B6">
        <w:rPr>
          <w:rFonts w:ascii="Times New Roman" w:hAnsi="Times New Roman" w:cs="Times New Roman"/>
          <w:sz w:val="24"/>
          <w:szCs w:val="24"/>
        </w:rPr>
        <w:t xml:space="preserve"> seminars,</w:t>
      </w:r>
      <w:r w:rsidR="008D681F">
        <w:rPr>
          <w:rFonts w:ascii="Times New Roman" w:hAnsi="Times New Roman" w:cs="Times New Roman"/>
          <w:sz w:val="24"/>
          <w:szCs w:val="24"/>
        </w:rPr>
        <w:t xml:space="preserve"> t</w:t>
      </w:r>
      <w:r w:rsidR="00C56463">
        <w:rPr>
          <w:rFonts w:ascii="Times New Roman" w:hAnsi="Times New Roman" w:cs="Times New Roman"/>
          <w:sz w:val="24"/>
          <w:szCs w:val="24"/>
        </w:rPr>
        <w:t xml:space="preserve">here remains a place for the </w:t>
      </w:r>
      <w:r w:rsidR="008D681F">
        <w:rPr>
          <w:rFonts w:ascii="Times New Roman" w:hAnsi="Times New Roman" w:cs="Times New Roman"/>
          <w:sz w:val="24"/>
          <w:szCs w:val="24"/>
        </w:rPr>
        <w:t>in-person</w:t>
      </w:r>
      <w:r w:rsidR="009A25B6">
        <w:rPr>
          <w:rFonts w:ascii="Times New Roman" w:hAnsi="Times New Roman" w:cs="Times New Roman"/>
          <w:sz w:val="24"/>
          <w:szCs w:val="24"/>
        </w:rPr>
        <w:t>-only</w:t>
      </w:r>
      <w:r w:rsidR="008D681F">
        <w:rPr>
          <w:rFonts w:ascii="Times New Roman" w:hAnsi="Times New Roman" w:cs="Times New Roman"/>
          <w:sz w:val="24"/>
          <w:szCs w:val="24"/>
        </w:rPr>
        <w:t xml:space="preserve"> </w:t>
      </w:r>
      <w:r w:rsidR="009A25B6">
        <w:rPr>
          <w:rFonts w:ascii="Times New Roman" w:hAnsi="Times New Roman" w:cs="Times New Roman"/>
          <w:sz w:val="24"/>
          <w:szCs w:val="24"/>
        </w:rPr>
        <w:t>mode</w:t>
      </w:r>
      <w:r w:rsidR="008D681F">
        <w:rPr>
          <w:rFonts w:ascii="Times New Roman" w:hAnsi="Times New Roman" w:cs="Times New Roman"/>
          <w:sz w:val="24"/>
          <w:szCs w:val="24"/>
        </w:rPr>
        <w:t xml:space="preserve"> – when participants are</w:t>
      </w:r>
      <w:r w:rsidR="006076A6">
        <w:rPr>
          <w:rFonts w:ascii="Times New Roman" w:hAnsi="Times New Roman" w:cs="Times New Roman"/>
          <w:sz w:val="24"/>
          <w:szCs w:val="24"/>
        </w:rPr>
        <w:t xml:space="preserve"> all</w:t>
      </w:r>
      <w:r w:rsidR="008D681F">
        <w:rPr>
          <w:rFonts w:ascii="Times New Roman" w:hAnsi="Times New Roman" w:cs="Times New Roman"/>
          <w:sz w:val="24"/>
          <w:szCs w:val="24"/>
        </w:rPr>
        <w:t xml:space="preserve"> </w:t>
      </w:r>
      <w:r w:rsidR="006076A6">
        <w:rPr>
          <w:rFonts w:ascii="Times New Roman" w:hAnsi="Times New Roman" w:cs="Times New Roman"/>
          <w:sz w:val="24"/>
          <w:szCs w:val="24"/>
        </w:rPr>
        <w:t xml:space="preserve">local to the venue – </w:t>
      </w:r>
      <w:r w:rsidR="008D681F">
        <w:rPr>
          <w:rFonts w:ascii="Times New Roman" w:hAnsi="Times New Roman" w:cs="Times New Roman"/>
          <w:sz w:val="24"/>
          <w:szCs w:val="24"/>
        </w:rPr>
        <w:t xml:space="preserve">and the virtual </w:t>
      </w:r>
      <w:r w:rsidR="00983998">
        <w:rPr>
          <w:rFonts w:ascii="Times New Roman" w:hAnsi="Times New Roman" w:cs="Times New Roman"/>
          <w:sz w:val="24"/>
          <w:szCs w:val="24"/>
        </w:rPr>
        <w:t>platform</w:t>
      </w:r>
      <w:r w:rsidR="006076A6">
        <w:rPr>
          <w:rFonts w:ascii="Times New Roman" w:hAnsi="Times New Roman" w:cs="Times New Roman"/>
          <w:sz w:val="24"/>
          <w:szCs w:val="24"/>
        </w:rPr>
        <w:t xml:space="preserve">, when they are not. </w:t>
      </w:r>
      <w:r w:rsidR="00983998">
        <w:rPr>
          <w:rFonts w:ascii="Times New Roman" w:hAnsi="Times New Roman" w:cs="Times New Roman"/>
          <w:sz w:val="24"/>
          <w:szCs w:val="24"/>
        </w:rPr>
        <w:t xml:space="preserve">In general, however, </w:t>
      </w:r>
      <w:r w:rsidR="00750FC1">
        <w:rPr>
          <w:rFonts w:ascii="Times New Roman" w:hAnsi="Times New Roman" w:cs="Times New Roman"/>
          <w:sz w:val="24"/>
          <w:szCs w:val="24"/>
        </w:rPr>
        <w:t xml:space="preserve">the </w:t>
      </w:r>
      <w:r w:rsidR="003E671F">
        <w:rPr>
          <w:rFonts w:ascii="Times New Roman" w:hAnsi="Times New Roman" w:cs="Times New Roman"/>
          <w:sz w:val="24"/>
          <w:szCs w:val="24"/>
        </w:rPr>
        <w:t xml:space="preserve">routine </w:t>
      </w:r>
      <w:r w:rsidR="00750FC1">
        <w:rPr>
          <w:rFonts w:ascii="Times New Roman" w:hAnsi="Times New Roman" w:cs="Times New Roman"/>
          <w:sz w:val="24"/>
          <w:szCs w:val="24"/>
        </w:rPr>
        <w:t xml:space="preserve">of international – certainly, inter-continental – jet-setting to attend a one-to-two-day event, or even </w:t>
      </w:r>
      <w:r w:rsidR="001E7A19">
        <w:rPr>
          <w:rFonts w:ascii="Times New Roman" w:hAnsi="Times New Roman" w:cs="Times New Roman"/>
          <w:sz w:val="24"/>
          <w:szCs w:val="24"/>
        </w:rPr>
        <w:t>a</w:t>
      </w:r>
      <w:r w:rsidR="00750FC1">
        <w:rPr>
          <w:rFonts w:ascii="Times New Roman" w:hAnsi="Times New Roman" w:cs="Times New Roman"/>
          <w:sz w:val="24"/>
          <w:szCs w:val="24"/>
        </w:rPr>
        <w:t xml:space="preserve"> five-day </w:t>
      </w:r>
      <w:r w:rsidR="001E7A19">
        <w:rPr>
          <w:rFonts w:ascii="Times New Roman" w:hAnsi="Times New Roman" w:cs="Times New Roman"/>
          <w:sz w:val="24"/>
          <w:szCs w:val="24"/>
        </w:rPr>
        <w:t>one</w:t>
      </w:r>
      <w:r w:rsidR="00750FC1">
        <w:rPr>
          <w:rFonts w:ascii="Times New Roman" w:hAnsi="Times New Roman" w:cs="Times New Roman"/>
          <w:sz w:val="24"/>
          <w:szCs w:val="24"/>
        </w:rPr>
        <w:t xml:space="preserve">, </w:t>
      </w:r>
      <w:r w:rsidR="009A5552" w:rsidRPr="00CF19F9">
        <w:rPr>
          <w:rFonts w:ascii="Times New Roman" w:hAnsi="Times New Roman" w:cs="Times New Roman"/>
          <w:b/>
          <w:bCs/>
          <w:sz w:val="24"/>
          <w:szCs w:val="24"/>
        </w:rPr>
        <w:t>must</w:t>
      </w:r>
      <w:r w:rsidR="009A5552">
        <w:rPr>
          <w:rFonts w:ascii="Times New Roman" w:hAnsi="Times New Roman" w:cs="Times New Roman"/>
          <w:sz w:val="24"/>
          <w:szCs w:val="24"/>
        </w:rPr>
        <w:t xml:space="preserve"> end. Not only can </w:t>
      </w:r>
      <w:r w:rsidR="00C2514E">
        <w:rPr>
          <w:rFonts w:ascii="Times New Roman" w:hAnsi="Times New Roman" w:cs="Times New Roman"/>
          <w:sz w:val="24"/>
          <w:szCs w:val="24"/>
        </w:rPr>
        <w:t xml:space="preserve">the hybrid conference be done and done well, but it even offers </w:t>
      </w:r>
      <w:r w:rsidR="00DF091B">
        <w:rPr>
          <w:rFonts w:ascii="Times New Roman" w:hAnsi="Times New Roman" w:cs="Times New Roman"/>
          <w:sz w:val="24"/>
          <w:szCs w:val="24"/>
        </w:rPr>
        <w:t>hidden benefits and opportunities.</w:t>
      </w:r>
      <w:r w:rsidR="00696CAA">
        <w:rPr>
          <w:rFonts w:ascii="Times New Roman" w:hAnsi="Times New Roman" w:cs="Times New Roman"/>
          <w:sz w:val="24"/>
          <w:szCs w:val="24"/>
        </w:rPr>
        <w:t xml:space="preserve"> After three years of disruption to </w:t>
      </w:r>
      <w:r w:rsidR="00203A7F">
        <w:rPr>
          <w:rFonts w:ascii="Times New Roman" w:hAnsi="Times New Roman" w:cs="Times New Roman"/>
          <w:sz w:val="24"/>
          <w:szCs w:val="24"/>
        </w:rPr>
        <w:t xml:space="preserve">the old </w:t>
      </w:r>
      <w:r w:rsidR="003E671F">
        <w:rPr>
          <w:rFonts w:ascii="Times New Roman" w:hAnsi="Times New Roman" w:cs="Times New Roman"/>
          <w:sz w:val="24"/>
          <w:szCs w:val="24"/>
        </w:rPr>
        <w:t>ways</w:t>
      </w:r>
      <w:r w:rsidR="00203A7F">
        <w:rPr>
          <w:rFonts w:ascii="Times New Roman" w:hAnsi="Times New Roman" w:cs="Times New Roman"/>
          <w:sz w:val="24"/>
          <w:szCs w:val="24"/>
        </w:rPr>
        <w:t xml:space="preserve"> and amidst an </w:t>
      </w:r>
      <w:r w:rsidR="003E671F">
        <w:rPr>
          <w:rFonts w:ascii="Times New Roman" w:hAnsi="Times New Roman" w:cs="Times New Roman"/>
          <w:sz w:val="24"/>
          <w:szCs w:val="24"/>
        </w:rPr>
        <w:t>escalating</w:t>
      </w:r>
      <w:r w:rsidR="00203A7F">
        <w:rPr>
          <w:rFonts w:ascii="Times New Roman" w:hAnsi="Times New Roman" w:cs="Times New Roman"/>
          <w:sz w:val="24"/>
          <w:szCs w:val="24"/>
        </w:rPr>
        <w:t xml:space="preserve"> climate emergency, l</w:t>
      </w:r>
      <w:r w:rsidR="00696CAA">
        <w:rPr>
          <w:rFonts w:ascii="Times New Roman" w:hAnsi="Times New Roman" w:cs="Times New Roman"/>
          <w:sz w:val="24"/>
          <w:szCs w:val="24"/>
        </w:rPr>
        <w:t>aw practitioners and academics</w:t>
      </w:r>
      <w:r w:rsidR="00203A7F">
        <w:rPr>
          <w:rFonts w:ascii="Times New Roman" w:hAnsi="Times New Roman" w:cs="Times New Roman"/>
          <w:sz w:val="24"/>
          <w:szCs w:val="24"/>
        </w:rPr>
        <w:t xml:space="preserve"> are ready </w:t>
      </w:r>
      <w:r w:rsidR="002525B4">
        <w:rPr>
          <w:rFonts w:ascii="Times New Roman" w:hAnsi="Times New Roman" w:cs="Times New Roman"/>
          <w:sz w:val="24"/>
          <w:szCs w:val="24"/>
        </w:rPr>
        <w:t xml:space="preserve">to </w:t>
      </w:r>
      <w:r w:rsidR="006E31FE">
        <w:rPr>
          <w:rFonts w:ascii="Times New Roman" w:hAnsi="Times New Roman" w:cs="Times New Roman"/>
          <w:sz w:val="24"/>
          <w:szCs w:val="24"/>
        </w:rPr>
        <w:t xml:space="preserve">permanently </w:t>
      </w:r>
      <w:r w:rsidR="002525B4">
        <w:rPr>
          <w:rFonts w:ascii="Times New Roman" w:hAnsi="Times New Roman" w:cs="Times New Roman"/>
          <w:sz w:val="24"/>
          <w:szCs w:val="24"/>
        </w:rPr>
        <w:t>change to low-emission conferences</w:t>
      </w:r>
      <w:r w:rsidR="00203A7F">
        <w:rPr>
          <w:rFonts w:ascii="Times New Roman" w:hAnsi="Times New Roman" w:cs="Times New Roman"/>
          <w:sz w:val="24"/>
          <w:szCs w:val="24"/>
        </w:rPr>
        <w:t xml:space="preserve">. </w:t>
      </w:r>
    </w:p>
    <w:p w14:paraId="010481D8" w14:textId="07117360" w:rsidR="002F4ED6" w:rsidRPr="0039224E" w:rsidRDefault="001E7A19" w:rsidP="004856C9">
      <w:pPr>
        <w:jc w:val="both"/>
        <w:rPr>
          <w:rFonts w:ascii="Times New Roman" w:hAnsi="Times New Roman" w:cs="Times New Roman"/>
          <w:sz w:val="24"/>
          <w:szCs w:val="24"/>
        </w:rPr>
      </w:pPr>
      <w:r>
        <w:rPr>
          <w:rFonts w:ascii="Times New Roman" w:hAnsi="Times New Roman" w:cs="Times New Roman"/>
          <w:sz w:val="24"/>
          <w:szCs w:val="24"/>
        </w:rPr>
        <w:t xml:space="preserve">Let us </w:t>
      </w:r>
      <w:r w:rsidR="00425C66">
        <w:rPr>
          <w:rFonts w:ascii="Times New Roman" w:hAnsi="Times New Roman" w:cs="Times New Roman"/>
          <w:sz w:val="24"/>
          <w:szCs w:val="24"/>
        </w:rPr>
        <w:t>make that change. Now.</w:t>
      </w:r>
    </w:p>
    <w:sectPr w:rsidR="002F4ED6" w:rsidRPr="0039224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2ADD" w14:textId="77777777" w:rsidR="001B4368" w:rsidRDefault="001B4368" w:rsidP="004C00B9">
      <w:pPr>
        <w:spacing w:after="0" w:line="240" w:lineRule="auto"/>
      </w:pPr>
      <w:r>
        <w:separator/>
      </w:r>
    </w:p>
  </w:endnote>
  <w:endnote w:type="continuationSeparator" w:id="0">
    <w:p w14:paraId="466653EA" w14:textId="77777777" w:rsidR="001B4368" w:rsidRDefault="001B4368" w:rsidP="004C00B9">
      <w:pPr>
        <w:spacing w:after="0" w:line="240" w:lineRule="auto"/>
      </w:pPr>
      <w:r>
        <w:continuationSeparator/>
      </w:r>
    </w:p>
  </w:endnote>
  <w:endnote w:type="continuationNotice" w:id="1">
    <w:p w14:paraId="57DE18C5" w14:textId="77777777" w:rsidR="001B4368" w:rsidRDefault="001B4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207450"/>
      <w:docPartObj>
        <w:docPartGallery w:val="Page Numbers (Bottom of Page)"/>
        <w:docPartUnique/>
      </w:docPartObj>
    </w:sdtPr>
    <w:sdtEndPr>
      <w:rPr>
        <w:noProof/>
      </w:rPr>
    </w:sdtEndPr>
    <w:sdtContent>
      <w:p w14:paraId="6E5FED20" w14:textId="60240C63" w:rsidR="00EA6875" w:rsidRDefault="00EA68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1E2F02" w14:textId="77777777" w:rsidR="00EA6875" w:rsidRDefault="00EA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9872" w14:textId="77777777" w:rsidR="001B4368" w:rsidRDefault="001B4368" w:rsidP="004C00B9">
      <w:pPr>
        <w:spacing w:after="0" w:line="240" w:lineRule="auto"/>
      </w:pPr>
      <w:r>
        <w:separator/>
      </w:r>
    </w:p>
  </w:footnote>
  <w:footnote w:type="continuationSeparator" w:id="0">
    <w:p w14:paraId="69BBFB93" w14:textId="77777777" w:rsidR="001B4368" w:rsidRDefault="001B4368" w:rsidP="004C00B9">
      <w:pPr>
        <w:spacing w:after="0" w:line="240" w:lineRule="auto"/>
      </w:pPr>
      <w:r>
        <w:continuationSeparator/>
      </w:r>
    </w:p>
  </w:footnote>
  <w:footnote w:type="continuationNotice" w:id="1">
    <w:p w14:paraId="3C2AA5D8" w14:textId="77777777" w:rsidR="001B4368" w:rsidRDefault="001B4368">
      <w:pPr>
        <w:spacing w:after="0" w:line="240" w:lineRule="auto"/>
      </w:pPr>
    </w:p>
  </w:footnote>
  <w:footnote w:id="2">
    <w:p w14:paraId="2016006A" w14:textId="669C9E84" w:rsidR="007D4B65" w:rsidRPr="003120B5" w:rsidRDefault="007D4B65" w:rsidP="004604BA">
      <w:pPr>
        <w:pStyle w:val="FootnoteText"/>
        <w:jc w:val="both"/>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w:t>
      </w:r>
      <w:r w:rsidR="00CF551F" w:rsidRPr="003120B5">
        <w:rPr>
          <w:rFonts w:ascii="Times New Roman" w:hAnsi="Times New Roman" w:cs="Times New Roman"/>
        </w:rPr>
        <w:t>The term ‘decarbonising’ is employed to signify reduction in greenhouse gas emissions, which comprise not only carbon dioxide but also methane</w:t>
      </w:r>
      <w:r w:rsidR="00730B9D" w:rsidRPr="003120B5">
        <w:rPr>
          <w:rFonts w:ascii="Times New Roman" w:hAnsi="Times New Roman" w:cs="Times New Roman"/>
        </w:rPr>
        <w:t>, nitrous oxide, water vapour and fluorinated gases.</w:t>
      </w:r>
    </w:p>
  </w:footnote>
  <w:footnote w:id="3">
    <w:p w14:paraId="48A9AED6" w14:textId="15F9B0A6" w:rsidR="004C00B9" w:rsidRPr="003120B5" w:rsidRDefault="004C00B9" w:rsidP="004604BA">
      <w:pPr>
        <w:pStyle w:val="FootnoteText"/>
        <w:jc w:val="both"/>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w:t>
      </w:r>
      <w:r w:rsidR="00E54F70" w:rsidRPr="003120B5">
        <w:rPr>
          <w:rFonts w:ascii="Times New Roman" w:hAnsi="Times New Roman" w:cs="Times New Roman"/>
        </w:rPr>
        <w:t xml:space="preserve">One study has shown that, </w:t>
      </w:r>
      <w:r w:rsidR="00B25587" w:rsidRPr="003120B5">
        <w:rPr>
          <w:rFonts w:ascii="Times New Roman" w:hAnsi="Times New Roman" w:cs="Times New Roman"/>
        </w:rPr>
        <w:t xml:space="preserve">accounting for variable factors and </w:t>
      </w:r>
      <w:r w:rsidR="00E54F70" w:rsidRPr="003120B5">
        <w:rPr>
          <w:rFonts w:ascii="Times New Roman" w:hAnsi="Times New Roman" w:cs="Times New Roman"/>
        </w:rPr>
        <w:t>measured in terms of the trade-offs between transport and resource consumption from virtual participation, entirely-remot</w:t>
      </w:r>
      <w:r w:rsidR="005F1C73" w:rsidRPr="003120B5">
        <w:rPr>
          <w:rFonts w:ascii="Times New Roman" w:hAnsi="Times New Roman" w:cs="Times New Roman"/>
        </w:rPr>
        <w:t>e</w:t>
      </w:r>
      <w:r w:rsidR="00E54F70" w:rsidRPr="003120B5">
        <w:rPr>
          <w:rFonts w:ascii="Times New Roman" w:hAnsi="Times New Roman" w:cs="Times New Roman"/>
        </w:rPr>
        <w:t xml:space="preserve"> conference achieve a footprint reduction of 9</w:t>
      </w:r>
      <w:r w:rsidR="005F1C73" w:rsidRPr="003120B5">
        <w:rPr>
          <w:rFonts w:ascii="Times New Roman" w:hAnsi="Times New Roman" w:cs="Times New Roman"/>
        </w:rPr>
        <w:t>4</w:t>
      </w:r>
      <w:r w:rsidR="00E54F70" w:rsidRPr="003120B5">
        <w:rPr>
          <w:rFonts w:ascii="Times New Roman" w:hAnsi="Times New Roman" w:cs="Times New Roman"/>
        </w:rPr>
        <w:t>%</w:t>
      </w:r>
      <w:r w:rsidR="00AD1CD0" w:rsidRPr="003120B5">
        <w:rPr>
          <w:rFonts w:ascii="Times New Roman" w:hAnsi="Times New Roman" w:cs="Times New Roman"/>
        </w:rPr>
        <w:t>, a 50% remote participation rate reduces it by</w:t>
      </w:r>
      <w:r w:rsidR="006F1C9C" w:rsidRPr="003120B5">
        <w:rPr>
          <w:rFonts w:ascii="Times New Roman" w:hAnsi="Times New Roman" w:cs="Times New Roman"/>
        </w:rPr>
        <w:t xml:space="preserve"> 66.67% while a 70% rate reduces it by upwards of 80% - </w:t>
      </w:r>
      <w:r w:rsidR="0042695D" w:rsidRPr="003120B5">
        <w:rPr>
          <w:rFonts w:ascii="Times New Roman" w:hAnsi="Times New Roman" w:cs="Times New Roman"/>
        </w:rPr>
        <w:t xml:space="preserve">Tao, Steckel, Klemeš and You, ‘Trend towards virtual and hybrid conferences may be an effective climate change mitigation strategy’, 12 </w:t>
      </w:r>
      <w:r w:rsidR="0042695D" w:rsidRPr="003120B5">
        <w:rPr>
          <w:rFonts w:ascii="Times New Roman" w:hAnsi="Times New Roman" w:cs="Times New Roman"/>
          <w:i/>
          <w:iCs/>
        </w:rPr>
        <w:t xml:space="preserve">Nature Communications </w:t>
      </w:r>
      <w:r w:rsidR="0042695D" w:rsidRPr="003120B5">
        <w:rPr>
          <w:rFonts w:ascii="Times New Roman" w:hAnsi="Times New Roman" w:cs="Times New Roman"/>
        </w:rPr>
        <w:t>(2021)</w:t>
      </w:r>
      <w:r w:rsidR="00872C8C" w:rsidRPr="003120B5">
        <w:rPr>
          <w:rFonts w:ascii="Times New Roman" w:hAnsi="Times New Roman" w:cs="Times New Roman"/>
        </w:rPr>
        <w:t xml:space="preserve">, No. 7324. </w:t>
      </w:r>
    </w:p>
  </w:footnote>
  <w:footnote w:id="4">
    <w:p w14:paraId="6B05D2A8" w14:textId="17F7E000" w:rsidR="00C20C9A" w:rsidRPr="003120B5" w:rsidRDefault="00C20C9A" w:rsidP="004604BA">
      <w:pPr>
        <w:pStyle w:val="FootnoteText"/>
        <w:jc w:val="both"/>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In one case, the organisers agreed to the request of a speaker based in the United Kingdom to present remotely due to a health-related agreement with the institution of the speaker. </w:t>
      </w:r>
    </w:p>
  </w:footnote>
  <w:footnote w:id="5">
    <w:p w14:paraId="6BE5AA36" w14:textId="5BDFAF2F" w:rsidR="00FD7F0C" w:rsidRPr="003120B5" w:rsidRDefault="00FD7F0C" w:rsidP="004604BA">
      <w:pPr>
        <w:pStyle w:val="FootnoteText"/>
        <w:jc w:val="both"/>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w:t>
      </w:r>
      <w:r w:rsidR="004E347B" w:rsidRPr="003120B5">
        <w:rPr>
          <w:rFonts w:ascii="Times New Roman" w:hAnsi="Times New Roman" w:cs="Times New Roman"/>
        </w:rPr>
        <w:t xml:space="preserve">The point about visas also arose for </w:t>
      </w:r>
      <w:r w:rsidR="00830C99" w:rsidRPr="003120B5">
        <w:rPr>
          <w:rFonts w:ascii="Times New Roman" w:hAnsi="Times New Roman" w:cs="Times New Roman"/>
        </w:rPr>
        <w:t>a</w:t>
      </w:r>
      <w:r w:rsidR="004E347B" w:rsidRPr="003120B5">
        <w:rPr>
          <w:rFonts w:ascii="Times New Roman" w:hAnsi="Times New Roman" w:cs="Times New Roman"/>
        </w:rPr>
        <w:t xml:space="preserve"> prospective registrant from Kazakhstan, who enquired about support for a visa for in-person participation. She did not reply to the author’s suggestion of remote attendance </w:t>
      </w:r>
      <w:r w:rsidR="00830C99" w:rsidRPr="003120B5">
        <w:rPr>
          <w:rFonts w:ascii="Times New Roman" w:hAnsi="Times New Roman" w:cs="Times New Roman"/>
        </w:rPr>
        <w:t>and to facilitate the best possible virtual experience.</w:t>
      </w:r>
      <w:r w:rsidR="007741DC" w:rsidRPr="003120B5">
        <w:rPr>
          <w:rFonts w:ascii="Times New Roman" w:hAnsi="Times New Roman" w:cs="Times New Roman"/>
        </w:rPr>
        <w:t xml:space="preserve"> An abstract-submitter from Brazil </w:t>
      </w:r>
      <w:r w:rsidR="003852B2" w:rsidRPr="003120B5">
        <w:rPr>
          <w:rFonts w:ascii="Times New Roman" w:hAnsi="Times New Roman" w:cs="Times New Roman"/>
        </w:rPr>
        <w:t>who was selected in reserve</w:t>
      </w:r>
      <w:r w:rsidR="00830C99" w:rsidRPr="003120B5">
        <w:rPr>
          <w:rFonts w:ascii="Times New Roman" w:hAnsi="Times New Roman" w:cs="Times New Roman"/>
        </w:rPr>
        <w:t xml:space="preserve"> stated that she did not value remote participation and so </w:t>
      </w:r>
      <w:r w:rsidR="007741DC" w:rsidRPr="003120B5">
        <w:rPr>
          <w:rFonts w:ascii="Times New Roman" w:hAnsi="Times New Roman" w:cs="Times New Roman"/>
        </w:rPr>
        <w:t>would have attended in-person, combining it with another intended event in London the following week</w:t>
      </w:r>
      <w:r w:rsidR="00830C99" w:rsidRPr="003120B5">
        <w:rPr>
          <w:rFonts w:ascii="Times New Roman" w:hAnsi="Times New Roman" w:cs="Times New Roman"/>
        </w:rPr>
        <w:t xml:space="preserve">. </w:t>
      </w:r>
    </w:p>
  </w:footnote>
  <w:footnote w:id="6">
    <w:p w14:paraId="4637406C" w14:textId="50F7220A" w:rsidR="00CD0E59" w:rsidRPr="003120B5" w:rsidRDefault="00CD0E59" w:rsidP="004604BA">
      <w:pPr>
        <w:pStyle w:val="FootnoteText"/>
        <w:jc w:val="both"/>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The ticket structure was as follows: £70 in-person, individual; £50 in-person, ILA member; £35 remote; £20 in-person, student; £10 in-person, student ILA member.</w:t>
      </w:r>
    </w:p>
  </w:footnote>
  <w:footnote w:id="7">
    <w:p w14:paraId="02EB9BD0" w14:textId="1B20A3A1" w:rsidR="00937DF1" w:rsidRPr="003120B5" w:rsidRDefault="00937DF1">
      <w:pPr>
        <w:pStyle w:val="FootnoteText"/>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As remote attendance fluctuated </w:t>
      </w:r>
      <w:r w:rsidR="00162150" w:rsidRPr="003120B5">
        <w:rPr>
          <w:rFonts w:ascii="Times New Roman" w:hAnsi="Times New Roman" w:cs="Times New Roman"/>
        </w:rPr>
        <w:t>from panel to panel</w:t>
      </w:r>
      <w:r w:rsidRPr="003120B5">
        <w:rPr>
          <w:rFonts w:ascii="Times New Roman" w:hAnsi="Times New Roman" w:cs="Times New Roman"/>
        </w:rPr>
        <w:t>, the number is a</w:t>
      </w:r>
      <w:r w:rsidR="00162150" w:rsidRPr="003120B5">
        <w:rPr>
          <w:rFonts w:ascii="Times New Roman" w:hAnsi="Times New Roman" w:cs="Times New Roman"/>
        </w:rPr>
        <w:t xml:space="preserve"> notional </w:t>
      </w:r>
      <w:r w:rsidRPr="003120B5">
        <w:rPr>
          <w:rFonts w:ascii="Times New Roman" w:hAnsi="Times New Roman" w:cs="Times New Roman"/>
        </w:rPr>
        <w:t>average.</w:t>
      </w:r>
    </w:p>
  </w:footnote>
  <w:footnote w:id="8">
    <w:p w14:paraId="7F964C37" w14:textId="01675ED4" w:rsidR="00AC5621" w:rsidRPr="003120B5" w:rsidRDefault="00AC5621" w:rsidP="004604BA">
      <w:pPr>
        <w:pStyle w:val="FootnoteText"/>
        <w:jc w:val="both"/>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w:t>
      </w:r>
      <w:r w:rsidR="001B19F1" w:rsidRPr="003120B5">
        <w:rPr>
          <w:rFonts w:ascii="Times New Roman" w:hAnsi="Times New Roman" w:cs="Times New Roman"/>
        </w:rPr>
        <w:t xml:space="preserve">Three attendees based abroad had flown to the United Kingdom on </w:t>
      </w:r>
      <w:r w:rsidR="00BE6288" w:rsidRPr="003120B5">
        <w:rPr>
          <w:rFonts w:ascii="Times New Roman" w:hAnsi="Times New Roman" w:cs="Times New Roman"/>
        </w:rPr>
        <w:t>other</w:t>
      </w:r>
      <w:r w:rsidR="001B19F1" w:rsidRPr="003120B5">
        <w:rPr>
          <w:rFonts w:ascii="Times New Roman" w:hAnsi="Times New Roman" w:cs="Times New Roman"/>
        </w:rPr>
        <w:t xml:space="preserve"> business</w:t>
      </w:r>
      <w:r w:rsidR="00BE6288" w:rsidRPr="003120B5">
        <w:rPr>
          <w:rFonts w:ascii="Times New Roman" w:hAnsi="Times New Roman" w:cs="Times New Roman"/>
        </w:rPr>
        <w:t xml:space="preserve"> in Edinburgh and London; they </w:t>
      </w:r>
      <w:r w:rsidR="001B19F1" w:rsidRPr="003120B5">
        <w:rPr>
          <w:rFonts w:ascii="Times New Roman" w:hAnsi="Times New Roman" w:cs="Times New Roman"/>
        </w:rPr>
        <w:t>travell</w:t>
      </w:r>
      <w:r w:rsidR="00BE6288" w:rsidRPr="003120B5">
        <w:rPr>
          <w:rFonts w:ascii="Times New Roman" w:hAnsi="Times New Roman" w:cs="Times New Roman"/>
        </w:rPr>
        <w:t>ed</w:t>
      </w:r>
      <w:r w:rsidR="00354254" w:rsidRPr="003120B5">
        <w:rPr>
          <w:rFonts w:ascii="Times New Roman" w:hAnsi="Times New Roman" w:cs="Times New Roman"/>
        </w:rPr>
        <w:t xml:space="preserve"> by train</w:t>
      </w:r>
      <w:r w:rsidR="001B19F1" w:rsidRPr="003120B5">
        <w:rPr>
          <w:rFonts w:ascii="Times New Roman" w:hAnsi="Times New Roman" w:cs="Times New Roman"/>
        </w:rPr>
        <w:t xml:space="preserve"> from an event in Edinburgh to </w:t>
      </w:r>
      <w:r w:rsidR="00354254" w:rsidRPr="003120B5">
        <w:rPr>
          <w:rFonts w:ascii="Times New Roman" w:hAnsi="Times New Roman" w:cs="Times New Roman"/>
        </w:rPr>
        <w:t>Guildford</w:t>
      </w:r>
      <w:r w:rsidR="00BE6288" w:rsidRPr="003120B5">
        <w:rPr>
          <w:rFonts w:ascii="Times New Roman" w:hAnsi="Times New Roman" w:cs="Times New Roman"/>
        </w:rPr>
        <w:t xml:space="preserve"> and thence</w:t>
      </w:r>
      <w:r w:rsidR="00C2688D" w:rsidRPr="003120B5">
        <w:rPr>
          <w:rFonts w:ascii="Times New Roman" w:hAnsi="Times New Roman" w:cs="Times New Roman"/>
        </w:rPr>
        <w:t xml:space="preserve"> </w:t>
      </w:r>
      <w:r w:rsidR="00BE6288" w:rsidRPr="003120B5">
        <w:rPr>
          <w:rFonts w:ascii="Times New Roman" w:hAnsi="Times New Roman" w:cs="Times New Roman"/>
        </w:rPr>
        <w:t>to</w:t>
      </w:r>
      <w:r w:rsidR="00354254" w:rsidRPr="003120B5">
        <w:rPr>
          <w:rFonts w:ascii="Times New Roman" w:hAnsi="Times New Roman" w:cs="Times New Roman"/>
        </w:rPr>
        <w:t xml:space="preserve"> London</w:t>
      </w:r>
      <w:r w:rsidR="00BE6288" w:rsidRPr="003120B5">
        <w:rPr>
          <w:rFonts w:ascii="Times New Roman" w:hAnsi="Times New Roman" w:cs="Times New Roman"/>
        </w:rPr>
        <w:t xml:space="preserve"> for their other business before flying home</w:t>
      </w:r>
      <w:r w:rsidR="00C2688D" w:rsidRPr="003120B5">
        <w:rPr>
          <w:rFonts w:ascii="Times New Roman" w:hAnsi="Times New Roman" w:cs="Times New Roman"/>
        </w:rPr>
        <w:t xml:space="preserve">. </w:t>
      </w:r>
      <w:r w:rsidR="00354254" w:rsidRPr="003120B5">
        <w:rPr>
          <w:rFonts w:ascii="Times New Roman" w:hAnsi="Times New Roman" w:cs="Times New Roman"/>
        </w:rPr>
        <w:t>We</w:t>
      </w:r>
      <w:r w:rsidR="00C2688D" w:rsidRPr="003120B5">
        <w:rPr>
          <w:rFonts w:ascii="Times New Roman" w:hAnsi="Times New Roman" w:cs="Times New Roman"/>
        </w:rPr>
        <w:t xml:space="preserve"> certified this </w:t>
      </w:r>
      <w:r w:rsidR="00354254" w:rsidRPr="003120B5">
        <w:rPr>
          <w:rFonts w:ascii="Times New Roman" w:hAnsi="Times New Roman" w:cs="Times New Roman"/>
        </w:rPr>
        <w:t xml:space="preserve">as </w:t>
      </w:r>
      <w:r w:rsidR="008E4FA2" w:rsidRPr="003120B5">
        <w:rPr>
          <w:rFonts w:ascii="Times New Roman" w:hAnsi="Times New Roman" w:cs="Times New Roman"/>
        </w:rPr>
        <w:t xml:space="preserve">mixed </w:t>
      </w:r>
      <w:r w:rsidR="00354254" w:rsidRPr="003120B5">
        <w:rPr>
          <w:rFonts w:ascii="Times New Roman" w:hAnsi="Times New Roman" w:cs="Times New Roman"/>
        </w:rPr>
        <w:t>rail</w:t>
      </w:r>
      <w:r w:rsidR="008E4FA2" w:rsidRPr="003120B5">
        <w:rPr>
          <w:rFonts w:ascii="Times New Roman" w:hAnsi="Times New Roman" w:cs="Times New Roman"/>
        </w:rPr>
        <w:t>-flight</w:t>
      </w:r>
      <w:r w:rsidR="00354254" w:rsidRPr="003120B5">
        <w:rPr>
          <w:rFonts w:ascii="Times New Roman" w:hAnsi="Times New Roman" w:cs="Times New Roman"/>
        </w:rPr>
        <w:t xml:space="preserve"> travel from Edinburgh to Guildford to London</w:t>
      </w:r>
      <w:r w:rsidR="008E4FA2" w:rsidRPr="003120B5">
        <w:rPr>
          <w:rFonts w:ascii="Times New Roman" w:hAnsi="Times New Roman" w:cs="Times New Roman"/>
        </w:rPr>
        <w:t xml:space="preserve"> to Reykjavik</w:t>
      </w:r>
      <w:r w:rsidR="00354254" w:rsidRPr="003120B5">
        <w:rPr>
          <w:rFonts w:ascii="Times New Roman" w:hAnsi="Times New Roman" w:cs="Times New Roman"/>
        </w:rPr>
        <w:t xml:space="preserve"> on the basis</w:t>
      </w:r>
      <w:r w:rsidR="00C2688D" w:rsidRPr="003120B5">
        <w:rPr>
          <w:rFonts w:ascii="Times New Roman" w:hAnsi="Times New Roman" w:cs="Times New Roman"/>
        </w:rPr>
        <w:t xml:space="preserve"> that they would have flown to the U.K. regardless</w:t>
      </w:r>
      <w:r w:rsidR="00354254" w:rsidRPr="003120B5">
        <w:rPr>
          <w:rFonts w:ascii="Times New Roman" w:hAnsi="Times New Roman" w:cs="Times New Roman"/>
        </w:rPr>
        <w:t xml:space="preserve"> of the event</w:t>
      </w:r>
      <w:r w:rsidR="00C2688D" w:rsidRPr="003120B5">
        <w:rPr>
          <w:rFonts w:ascii="Times New Roman" w:hAnsi="Times New Roman" w:cs="Times New Roman"/>
        </w:rPr>
        <w:t xml:space="preserve">. </w:t>
      </w:r>
      <w:r w:rsidR="00354254" w:rsidRPr="003120B5">
        <w:rPr>
          <w:rFonts w:ascii="Times New Roman" w:hAnsi="Times New Roman" w:cs="Times New Roman"/>
        </w:rPr>
        <w:t xml:space="preserve">Other long rail journeys </w:t>
      </w:r>
      <w:r w:rsidR="000375D0" w:rsidRPr="003120B5">
        <w:rPr>
          <w:rFonts w:ascii="Times New Roman" w:hAnsi="Times New Roman" w:cs="Times New Roman"/>
        </w:rPr>
        <w:t>included</w:t>
      </w:r>
      <w:r w:rsidR="00354254" w:rsidRPr="003120B5">
        <w:rPr>
          <w:rFonts w:ascii="Times New Roman" w:hAnsi="Times New Roman" w:cs="Times New Roman"/>
        </w:rPr>
        <w:t xml:space="preserve"> Lancaster</w:t>
      </w:r>
      <w:r w:rsidR="00B9318F" w:rsidRPr="003120B5">
        <w:rPr>
          <w:rFonts w:ascii="Times New Roman" w:hAnsi="Times New Roman" w:cs="Times New Roman"/>
        </w:rPr>
        <w:t xml:space="preserve"> and Birmingham. </w:t>
      </w:r>
    </w:p>
  </w:footnote>
  <w:footnote w:id="9">
    <w:p w14:paraId="36D33D01" w14:textId="534CBA46" w:rsidR="00BA6208" w:rsidRPr="003120B5" w:rsidRDefault="00BA6208" w:rsidP="004604BA">
      <w:pPr>
        <w:pStyle w:val="FootnoteText"/>
        <w:jc w:val="both"/>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Note </w:t>
      </w:r>
      <w:r w:rsidRPr="003120B5">
        <w:rPr>
          <w:rFonts w:ascii="Times New Roman" w:hAnsi="Times New Roman" w:cs="Times New Roman"/>
        </w:rPr>
        <w:fldChar w:fldCharType="begin"/>
      </w:r>
      <w:r w:rsidRPr="003120B5">
        <w:rPr>
          <w:rFonts w:ascii="Times New Roman" w:hAnsi="Times New Roman" w:cs="Times New Roman"/>
        </w:rPr>
        <w:instrText xml:space="preserve"> NOTEREF _Ref102413831 \h  \* MERGEFORMAT </w:instrText>
      </w:r>
      <w:r w:rsidRPr="003120B5">
        <w:rPr>
          <w:rFonts w:ascii="Times New Roman" w:hAnsi="Times New Roman" w:cs="Times New Roman"/>
        </w:rPr>
      </w:r>
      <w:r w:rsidRPr="003120B5">
        <w:rPr>
          <w:rFonts w:ascii="Times New Roman" w:hAnsi="Times New Roman" w:cs="Times New Roman"/>
        </w:rPr>
        <w:fldChar w:fldCharType="separate"/>
      </w:r>
      <w:r w:rsidRPr="003120B5">
        <w:rPr>
          <w:rFonts w:ascii="Times New Roman" w:hAnsi="Times New Roman" w:cs="Times New Roman"/>
        </w:rPr>
        <w:t>3</w:t>
      </w:r>
      <w:r w:rsidRPr="003120B5">
        <w:rPr>
          <w:rFonts w:ascii="Times New Roman" w:hAnsi="Times New Roman" w:cs="Times New Roman"/>
        </w:rPr>
        <w:fldChar w:fldCharType="end"/>
      </w:r>
      <w:r w:rsidRPr="003120B5">
        <w:rPr>
          <w:rFonts w:ascii="Times New Roman" w:hAnsi="Times New Roman" w:cs="Times New Roman"/>
        </w:rPr>
        <w:t xml:space="preserve">, </w:t>
      </w:r>
      <w:r w:rsidRPr="003120B5">
        <w:rPr>
          <w:rFonts w:ascii="Times New Roman" w:hAnsi="Times New Roman" w:cs="Times New Roman"/>
          <w:i/>
          <w:iCs/>
        </w:rPr>
        <w:t>supra</w:t>
      </w:r>
      <w:r w:rsidRPr="003120B5">
        <w:rPr>
          <w:rFonts w:ascii="Times New Roman" w:hAnsi="Times New Roman" w:cs="Times New Roman"/>
        </w:rPr>
        <w:t>.</w:t>
      </w:r>
    </w:p>
  </w:footnote>
  <w:footnote w:id="10">
    <w:p w14:paraId="426776E2" w14:textId="5AFAA6B4" w:rsidR="0076441A" w:rsidRPr="003120B5" w:rsidRDefault="0076441A">
      <w:pPr>
        <w:pStyle w:val="FootnoteText"/>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To </w:t>
      </w:r>
      <w:r w:rsidR="003120B5" w:rsidRPr="003120B5">
        <w:rPr>
          <w:rFonts w:ascii="Times New Roman" w:hAnsi="Times New Roman" w:cs="Times New Roman"/>
        </w:rPr>
        <w:t>establish</w:t>
      </w:r>
      <w:r w:rsidRPr="003120B5">
        <w:rPr>
          <w:rFonts w:ascii="Times New Roman" w:hAnsi="Times New Roman" w:cs="Times New Roman"/>
        </w:rPr>
        <w:t xml:space="preserve"> a baselin</w:t>
      </w:r>
      <w:r w:rsidR="003120B5" w:rsidRPr="003120B5">
        <w:rPr>
          <w:rFonts w:ascii="Times New Roman" w:hAnsi="Times New Roman" w:cs="Times New Roman"/>
        </w:rPr>
        <w:t>e</w:t>
      </w:r>
      <w:r w:rsidRPr="003120B5">
        <w:rPr>
          <w:rFonts w:ascii="Times New Roman" w:hAnsi="Times New Roman" w:cs="Times New Roman"/>
        </w:rPr>
        <w:t xml:space="preserve">, we calculated two people travelling from London by train for </w:t>
      </w:r>
      <w:r w:rsidR="00867953" w:rsidRPr="003120B5">
        <w:rPr>
          <w:rFonts w:ascii="Times New Roman" w:hAnsi="Times New Roman" w:cs="Times New Roman"/>
        </w:rPr>
        <w:t>a 70-mile return journey. The manual calculator generated 11.1 tC</w:t>
      </w:r>
      <w:r w:rsidR="003120B5" w:rsidRPr="003120B5">
        <w:rPr>
          <w:rFonts w:ascii="Times New Roman" w:hAnsi="Times New Roman" w:cs="Times New Roman"/>
        </w:rPr>
        <w:t>O</w:t>
      </w:r>
      <w:r w:rsidR="00867953" w:rsidRPr="003120B5">
        <w:rPr>
          <w:rFonts w:ascii="Times New Roman" w:hAnsi="Times New Roman" w:cs="Times New Roman"/>
        </w:rPr>
        <w:t xml:space="preserve">2e </w:t>
      </w:r>
      <w:r w:rsidR="003120B5" w:rsidRPr="003120B5">
        <w:rPr>
          <w:rFonts w:ascii="Times New Roman" w:hAnsi="Times New Roman" w:cs="Times New Roman"/>
        </w:rPr>
        <w:t xml:space="preserve">and the automatic calculation a result of 3.4 tCO2e. </w:t>
      </w:r>
    </w:p>
  </w:footnote>
  <w:footnote w:id="11">
    <w:p w14:paraId="74179947" w14:textId="12E6058A" w:rsidR="00144BF4" w:rsidRPr="003120B5" w:rsidRDefault="00144BF4">
      <w:pPr>
        <w:pStyle w:val="FootnoteText"/>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w:t>
      </w:r>
      <w:r w:rsidR="003120B5">
        <w:rPr>
          <w:rFonts w:ascii="Times New Roman" w:hAnsi="Times New Roman" w:cs="Times New Roman"/>
        </w:rPr>
        <w:t>We counted the electric vehicle journey as having been made by foot, inputting the correct mileage, to produce zero emissions. Based on market data of hybrid plug-in vehicles, we reduced the mileage for a hybrid journey by 35 miles to reflect a full charge on the electric battery.</w:t>
      </w:r>
    </w:p>
  </w:footnote>
  <w:footnote w:id="12">
    <w:p w14:paraId="169B4BFB" w14:textId="77777777" w:rsidR="00C76431" w:rsidRPr="003120B5" w:rsidRDefault="00C76431" w:rsidP="00C76431">
      <w:pPr>
        <w:pStyle w:val="FootnoteText"/>
        <w:jc w:val="both"/>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This was not a simple process, as calculating routes accurately for different types of journeys (e.g. – rail distances) requires careful use of different calculators.  </w:t>
      </w:r>
    </w:p>
  </w:footnote>
  <w:footnote w:id="13">
    <w:p w14:paraId="6125D1E2" w14:textId="2B898C5A" w:rsidR="00F0069B" w:rsidRPr="003120B5" w:rsidRDefault="00F0069B" w:rsidP="004604BA">
      <w:pPr>
        <w:pStyle w:val="FootnoteText"/>
        <w:jc w:val="both"/>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Hotel stays by delegates were overlooked for tracking and so are omitted from the event footprint, though they should be counted as part of it. </w:t>
      </w:r>
    </w:p>
  </w:footnote>
  <w:footnote w:id="14">
    <w:p w14:paraId="4789300D" w14:textId="5DF8DA98" w:rsidR="00F0069B" w:rsidRPr="003120B5" w:rsidRDefault="00F0069B" w:rsidP="004604BA">
      <w:pPr>
        <w:pStyle w:val="FootnoteText"/>
        <w:jc w:val="both"/>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A half-dozen delegates accepted our invitation to attend the virtual panel from the theatre on Thursday evening, which enabled us to further test the hybrid interface. </w:t>
      </w:r>
    </w:p>
  </w:footnote>
  <w:footnote w:id="15">
    <w:p w14:paraId="6FE6F2D6" w14:textId="0DAD16A2" w:rsidR="00A04AC6" w:rsidRPr="003120B5" w:rsidRDefault="00A04AC6" w:rsidP="004604BA">
      <w:pPr>
        <w:pStyle w:val="FootnoteText"/>
        <w:jc w:val="both"/>
        <w:rPr>
          <w:rFonts w:ascii="Times New Roman" w:hAnsi="Times New Roman" w:cs="Times New Roman"/>
        </w:rPr>
      </w:pPr>
      <w:r w:rsidRPr="003120B5">
        <w:rPr>
          <w:rStyle w:val="FootnoteReference"/>
          <w:rFonts w:ascii="Times New Roman" w:hAnsi="Times New Roman" w:cs="Times New Roman"/>
        </w:rPr>
        <w:footnoteRef/>
      </w:r>
      <w:r w:rsidRPr="003120B5">
        <w:rPr>
          <w:rFonts w:ascii="Times New Roman" w:hAnsi="Times New Roman" w:cs="Times New Roman"/>
        </w:rPr>
        <w:t xml:space="preserve"> In truth, this is probably a part of the experience that should be done </w:t>
      </w:r>
      <w:r w:rsidR="007579F3" w:rsidRPr="003120B5">
        <w:rPr>
          <w:rFonts w:ascii="Times New Roman" w:hAnsi="Times New Roman" w:cs="Times New Roman"/>
        </w:rPr>
        <w:t xml:space="preserve">primarily </w:t>
      </w:r>
      <w:r w:rsidRPr="003120B5">
        <w:rPr>
          <w:rFonts w:ascii="Times New Roman" w:hAnsi="Times New Roman" w:cs="Times New Roman"/>
        </w:rPr>
        <w:t xml:space="preserve">in-person – nothing quite replaces the touch and turn of a book. Yet, having the remote option available to publishers to attend virtually is invaluable for availability and other logistical reasons, particularly as conference budgets have tightened in the sector.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723"/>
    <w:multiLevelType w:val="multilevel"/>
    <w:tmpl w:val="78F6F9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E34D71"/>
    <w:multiLevelType w:val="multilevel"/>
    <w:tmpl w:val="46D8251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0365ED9"/>
    <w:multiLevelType w:val="multilevel"/>
    <w:tmpl w:val="FE768B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E87693"/>
    <w:multiLevelType w:val="multilevel"/>
    <w:tmpl w:val="8E0604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9E1892"/>
    <w:multiLevelType w:val="multilevel"/>
    <w:tmpl w:val="92AC5E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DE54E2"/>
    <w:multiLevelType w:val="multilevel"/>
    <w:tmpl w:val="4D9CBC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346875"/>
    <w:multiLevelType w:val="multilevel"/>
    <w:tmpl w:val="2766C30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2FB5B7C"/>
    <w:multiLevelType w:val="multilevel"/>
    <w:tmpl w:val="D2A6A97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82601"/>
    <w:multiLevelType w:val="multilevel"/>
    <w:tmpl w:val="5040F77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9AD3EDD"/>
    <w:multiLevelType w:val="multilevel"/>
    <w:tmpl w:val="E71A614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86BFD"/>
    <w:multiLevelType w:val="multilevel"/>
    <w:tmpl w:val="0F2C4D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2113E4"/>
    <w:multiLevelType w:val="multilevel"/>
    <w:tmpl w:val="6810CC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636A11"/>
    <w:multiLevelType w:val="multilevel"/>
    <w:tmpl w:val="C64E2B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B15BC2"/>
    <w:multiLevelType w:val="multilevel"/>
    <w:tmpl w:val="BF3E45F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EB80635"/>
    <w:multiLevelType w:val="multilevel"/>
    <w:tmpl w:val="BED43A8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0555B6A"/>
    <w:multiLevelType w:val="multilevel"/>
    <w:tmpl w:val="99AE1A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E12509"/>
    <w:multiLevelType w:val="multilevel"/>
    <w:tmpl w:val="1032896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3E63103"/>
    <w:multiLevelType w:val="multilevel"/>
    <w:tmpl w:val="07FCA5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6F1DD1"/>
    <w:multiLevelType w:val="multilevel"/>
    <w:tmpl w:val="1AB6FEB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987273F"/>
    <w:multiLevelType w:val="multilevel"/>
    <w:tmpl w:val="99861F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2F7DAA"/>
    <w:multiLevelType w:val="multilevel"/>
    <w:tmpl w:val="713EAF9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25F0854"/>
    <w:multiLevelType w:val="multilevel"/>
    <w:tmpl w:val="4EFECA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937D57"/>
    <w:multiLevelType w:val="multilevel"/>
    <w:tmpl w:val="A46C67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EA3DDA"/>
    <w:multiLevelType w:val="multilevel"/>
    <w:tmpl w:val="3BF6BE6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E8C0DD1"/>
    <w:multiLevelType w:val="multilevel"/>
    <w:tmpl w:val="8ED62DD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4"/>
  </w:num>
  <w:num w:numId="4">
    <w:abstractNumId w:val="22"/>
  </w:num>
  <w:num w:numId="5">
    <w:abstractNumId w:val="13"/>
  </w:num>
  <w:num w:numId="6">
    <w:abstractNumId w:val="7"/>
  </w:num>
  <w:num w:numId="7">
    <w:abstractNumId w:val="24"/>
  </w:num>
  <w:num w:numId="8">
    <w:abstractNumId w:val="19"/>
  </w:num>
  <w:num w:numId="9">
    <w:abstractNumId w:val="11"/>
  </w:num>
  <w:num w:numId="10">
    <w:abstractNumId w:val="18"/>
  </w:num>
  <w:num w:numId="11">
    <w:abstractNumId w:val="17"/>
  </w:num>
  <w:num w:numId="12">
    <w:abstractNumId w:val="20"/>
  </w:num>
  <w:num w:numId="13">
    <w:abstractNumId w:val="21"/>
  </w:num>
  <w:num w:numId="14">
    <w:abstractNumId w:val="14"/>
  </w:num>
  <w:num w:numId="15">
    <w:abstractNumId w:val="3"/>
  </w:num>
  <w:num w:numId="16">
    <w:abstractNumId w:val="6"/>
  </w:num>
  <w:num w:numId="17">
    <w:abstractNumId w:val="9"/>
  </w:num>
  <w:num w:numId="18">
    <w:abstractNumId w:val="16"/>
  </w:num>
  <w:num w:numId="19">
    <w:abstractNumId w:val="10"/>
  </w:num>
  <w:num w:numId="20">
    <w:abstractNumId w:val="5"/>
  </w:num>
  <w:num w:numId="21">
    <w:abstractNumId w:val="0"/>
  </w:num>
  <w:num w:numId="22">
    <w:abstractNumId w:val="15"/>
  </w:num>
  <w:num w:numId="23">
    <w:abstractNumId w:val="8"/>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F3"/>
    <w:rsid w:val="00035A34"/>
    <w:rsid w:val="000375D0"/>
    <w:rsid w:val="00037812"/>
    <w:rsid w:val="00066B1C"/>
    <w:rsid w:val="000679F9"/>
    <w:rsid w:val="000711BB"/>
    <w:rsid w:val="00083AF2"/>
    <w:rsid w:val="00085753"/>
    <w:rsid w:val="000867B9"/>
    <w:rsid w:val="0009303E"/>
    <w:rsid w:val="000A1B5B"/>
    <w:rsid w:val="000B196B"/>
    <w:rsid w:val="000B35D0"/>
    <w:rsid w:val="001016DD"/>
    <w:rsid w:val="001135E0"/>
    <w:rsid w:val="0012030D"/>
    <w:rsid w:val="00122CD8"/>
    <w:rsid w:val="00127E75"/>
    <w:rsid w:val="00144BF4"/>
    <w:rsid w:val="001478B9"/>
    <w:rsid w:val="00162150"/>
    <w:rsid w:val="00177828"/>
    <w:rsid w:val="00192898"/>
    <w:rsid w:val="001A50BA"/>
    <w:rsid w:val="001A682B"/>
    <w:rsid w:val="001B19F1"/>
    <w:rsid w:val="001B4368"/>
    <w:rsid w:val="001B5067"/>
    <w:rsid w:val="001E26FB"/>
    <w:rsid w:val="001E7A19"/>
    <w:rsid w:val="00203A7F"/>
    <w:rsid w:val="002056E0"/>
    <w:rsid w:val="00206A4D"/>
    <w:rsid w:val="002150F7"/>
    <w:rsid w:val="00223B92"/>
    <w:rsid w:val="002261A1"/>
    <w:rsid w:val="0022653F"/>
    <w:rsid w:val="00232454"/>
    <w:rsid w:val="00234665"/>
    <w:rsid w:val="00251E78"/>
    <w:rsid w:val="002525B4"/>
    <w:rsid w:val="002545EB"/>
    <w:rsid w:val="0027542B"/>
    <w:rsid w:val="0029572A"/>
    <w:rsid w:val="002A0849"/>
    <w:rsid w:val="002A0E49"/>
    <w:rsid w:val="002A210A"/>
    <w:rsid w:val="002A524F"/>
    <w:rsid w:val="002B5E44"/>
    <w:rsid w:val="002C6193"/>
    <w:rsid w:val="002F1F4A"/>
    <w:rsid w:val="002F4ED6"/>
    <w:rsid w:val="003120B5"/>
    <w:rsid w:val="00314C41"/>
    <w:rsid w:val="00315F64"/>
    <w:rsid w:val="00353910"/>
    <w:rsid w:val="00354254"/>
    <w:rsid w:val="00355211"/>
    <w:rsid w:val="0036246E"/>
    <w:rsid w:val="00364EE1"/>
    <w:rsid w:val="00375480"/>
    <w:rsid w:val="003852B2"/>
    <w:rsid w:val="0039224E"/>
    <w:rsid w:val="00397408"/>
    <w:rsid w:val="003A2B0D"/>
    <w:rsid w:val="003B2B2D"/>
    <w:rsid w:val="003C1F92"/>
    <w:rsid w:val="003C1FC0"/>
    <w:rsid w:val="003D0DDC"/>
    <w:rsid w:val="003D158E"/>
    <w:rsid w:val="003D69ED"/>
    <w:rsid w:val="003E5323"/>
    <w:rsid w:val="003E671F"/>
    <w:rsid w:val="003F44F8"/>
    <w:rsid w:val="003F7803"/>
    <w:rsid w:val="00402DAE"/>
    <w:rsid w:val="00405EE3"/>
    <w:rsid w:val="00415BAF"/>
    <w:rsid w:val="00425C66"/>
    <w:rsid w:val="0042695D"/>
    <w:rsid w:val="004355EC"/>
    <w:rsid w:val="00452144"/>
    <w:rsid w:val="004604BA"/>
    <w:rsid w:val="00461152"/>
    <w:rsid w:val="004618E9"/>
    <w:rsid w:val="00462826"/>
    <w:rsid w:val="00477422"/>
    <w:rsid w:val="004856C9"/>
    <w:rsid w:val="004C00B9"/>
    <w:rsid w:val="004C2A46"/>
    <w:rsid w:val="004E347B"/>
    <w:rsid w:val="004F5188"/>
    <w:rsid w:val="0050624E"/>
    <w:rsid w:val="00511DC3"/>
    <w:rsid w:val="0051220D"/>
    <w:rsid w:val="00512E24"/>
    <w:rsid w:val="005133F5"/>
    <w:rsid w:val="00523196"/>
    <w:rsid w:val="0053176B"/>
    <w:rsid w:val="0054060E"/>
    <w:rsid w:val="00543946"/>
    <w:rsid w:val="005570E4"/>
    <w:rsid w:val="00565C39"/>
    <w:rsid w:val="00572B37"/>
    <w:rsid w:val="0059478E"/>
    <w:rsid w:val="005C2BE2"/>
    <w:rsid w:val="005F1C73"/>
    <w:rsid w:val="005F3A36"/>
    <w:rsid w:val="006002F5"/>
    <w:rsid w:val="00601B0E"/>
    <w:rsid w:val="0060232D"/>
    <w:rsid w:val="006076A6"/>
    <w:rsid w:val="00613DB2"/>
    <w:rsid w:val="00614710"/>
    <w:rsid w:val="00620ABD"/>
    <w:rsid w:val="00624F1E"/>
    <w:rsid w:val="00627620"/>
    <w:rsid w:val="00634BDB"/>
    <w:rsid w:val="006451DE"/>
    <w:rsid w:val="00665D05"/>
    <w:rsid w:val="0068515B"/>
    <w:rsid w:val="00696CAA"/>
    <w:rsid w:val="006A272B"/>
    <w:rsid w:val="006C39B8"/>
    <w:rsid w:val="006D28DD"/>
    <w:rsid w:val="006E0128"/>
    <w:rsid w:val="006E31FE"/>
    <w:rsid w:val="006E5E4E"/>
    <w:rsid w:val="006F1C9C"/>
    <w:rsid w:val="0070349B"/>
    <w:rsid w:val="00705637"/>
    <w:rsid w:val="007139BC"/>
    <w:rsid w:val="007166B2"/>
    <w:rsid w:val="00722939"/>
    <w:rsid w:val="00724C81"/>
    <w:rsid w:val="00730B9D"/>
    <w:rsid w:val="0074119E"/>
    <w:rsid w:val="0074449E"/>
    <w:rsid w:val="00750FC1"/>
    <w:rsid w:val="00753B08"/>
    <w:rsid w:val="007579F3"/>
    <w:rsid w:val="0076441A"/>
    <w:rsid w:val="0076579F"/>
    <w:rsid w:val="007676BA"/>
    <w:rsid w:val="007741DC"/>
    <w:rsid w:val="00781C1D"/>
    <w:rsid w:val="007943AD"/>
    <w:rsid w:val="007B3C7E"/>
    <w:rsid w:val="007C4D3D"/>
    <w:rsid w:val="007D4B65"/>
    <w:rsid w:val="007F0B2D"/>
    <w:rsid w:val="007F442F"/>
    <w:rsid w:val="007F51C1"/>
    <w:rsid w:val="0080375C"/>
    <w:rsid w:val="00812CF6"/>
    <w:rsid w:val="00817F10"/>
    <w:rsid w:val="00825D3A"/>
    <w:rsid w:val="00830197"/>
    <w:rsid w:val="00830C99"/>
    <w:rsid w:val="008335B9"/>
    <w:rsid w:val="008356D1"/>
    <w:rsid w:val="00842A67"/>
    <w:rsid w:val="00843763"/>
    <w:rsid w:val="00847CC8"/>
    <w:rsid w:val="00867953"/>
    <w:rsid w:val="00872C8C"/>
    <w:rsid w:val="0087429B"/>
    <w:rsid w:val="008752C3"/>
    <w:rsid w:val="00884CDE"/>
    <w:rsid w:val="008A2DA9"/>
    <w:rsid w:val="008B7BA1"/>
    <w:rsid w:val="008C7561"/>
    <w:rsid w:val="008D681F"/>
    <w:rsid w:val="008D6DB0"/>
    <w:rsid w:val="008E3AFC"/>
    <w:rsid w:val="008E4FA2"/>
    <w:rsid w:val="008F5567"/>
    <w:rsid w:val="009035C5"/>
    <w:rsid w:val="0090792F"/>
    <w:rsid w:val="00907D79"/>
    <w:rsid w:val="0092075F"/>
    <w:rsid w:val="009222CC"/>
    <w:rsid w:val="009268B8"/>
    <w:rsid w:val="00927F08"/>
    <w:rsid w:val="00937DF1"/>
    <w:rsid w:val="009461F7"/>
    <w:rsid w:val="00947E22"/>
    <w:rsid w:val="00983998"/>
    <w:rsid w:val="009955BD"/>
    <w:rsid w:val="009A00F3"/>
    <w:rsid w:val="009A25B6"/>
    <w:rsid w:val="009A53F8"/>
    <w:rsid w:val="009A5552"/>
    <w:rsid w:val="009B4E05"/>
    <w:rsid w:val="009D00E6"/>
    <w:rsid w:val="009F3CB1"/>
    <w:rsid w:val="00A04AC6"/>
    <w:rsid w:val="00A13EF0"/>
    <w:rsid w:val="00A1563E"/>
    <w:rsid w:val="00A26808"/>
    <w:rsid w:val="00A4239B"/>
    <w:rsid w:val="00A61548"/>
    <w:rsid w:val="00A62234"/>
    <w:rsid w:val="00A676EE"/>
    <w:rsid w:val="00A770C8"/>
    <w:rsid w:val="00A92CE7"/>
    <w:rsid w:val="00A93AFA"/>
    <w:rsid w:val="00AA6024"/>
    <w:rsid w:val="00AA667D"/>
    <w:rsid w:val="00AB23ED"/>
    <w:rsid w:val="00AC5621"/>
    <w:rsid w:val="00AC6E5E"/>
    <w:rsid w:val="00AD1CD0"/>
    <w:rsid w:val="00AE2110"/>
    <w:rsid w:val="00AE2CD1"/>
    <w:rsid w:val="00AE49E1"/>
    <w:rsid w:val="00AF22B0"/>
    <w:rsid w:val="00AF5668"/>
    <w:rsid w:val="00AF7B9B"/>
    <w:rsid w:val="00B010AD"/>
    <w:rsid w:val="00B03B47"/>
    <w:rsid w:val="00B25587"/>
    <w:rsid w:val="00B37E8A"/>
    <w:rsid w:val="00B60717"/>
    <w:rsid w:val="00B84B0E"/>
    <w:rsid w:val="00B87D23"/>
    <w:rsid w:val="00B92F18"/>
    <w:rsid w:val="00B9318F"/>
    <w:rsid w:val="00B94422"/>
    <w:rsid w:val="00B95E1E"/>
    <w:rsid w:val="00B9772D"/>
    <w:rsid w:val="00BA2791"/>
    <w:rsid w:val="00BA5E4E"/>
    <w:rsid w:val="00BA6208"/>
    <w:rsid w:val="00BB1195"/>
    <w:rsid w:val="00BB1AE7"/>
    <w:rsid w:val="00BB2A48"/>
    <w:rsid w:val="00BB2B61"/>
    <w:rsid w:val="00BD3D4D"/>
    <w:rsid w:val="00BD636E"/>
    <w:rsid w:val="00BE6288"/>
    <w:rsid w:val="00C00281"/>
    <w:rsid w:val="00C20C9A"/>
    <w:rsid w:val="00C211FE"/>
    <w:rsid w:val="00C2514E"/>
    <w:rsid w:val="00C2688D"/>
    <w:rsid w:val="00C273B9"/>
    <w:rsid w:val="00C50A89"/>
    <w:rsid w:val="00C56463"/>
    <w:rsid w:val="00C6547C"/>
    <w:rsid w:val="00C70929"/>
    <w:rsid w:val="00C76431"/>
    <w:rsid w:val="00C81CAA"/>
    <w:rsid w:val="00C952A4"/>
    <w:rsid w:val="00C97221"/>
    <w:rsid w:val="00CA5527"/>
    <w:rsid w:val="00CA574C"/>
    <w:rsid w:val="00CB68DA"/>
    <w:rsid w:val="00CC3979"/>
    <w:rsid w:val="00CD0E59"/>
    <w:rsid w:val="00CD7450"/>
    <w:rsid w:val="00CD7458"/>
    <w:rsid w:val="00CE1408"/>
    <w:rsid w:val="00CF19F9"/>
    <w:rsid w:val="00CF551F"/>
    <w:rsid w:val="00D146D7"/>
    <w:rsid w:val="00D21ADC"/>
    <w:rsid w:val="00D30840"/>
    <w:rsid w:val="00D30B55"/>
    <w:rsid w:val="00D32F57"/>
    <w:rsid w:val="00D427CD"/>
    <w:rsid w:val="00D51A0A"/>
    <w:rsid w:val="00D571D9"/>
    <w:rsid w:val="00D61071"/>
    <w:rsid w:val="00D84830"/>
    <w:rsid w:val="00D87EBB"/>
    <w:rsid w:val="00DB3E9D"/>
    <w:rsid w:val="00DC3A27"/>
    <w:rsid w:val="00DD53A6"/>
    <w:rsid w:val="00DE3F39"/>
    <w:rsid w:val="00DE42F0"/>
    <w:rsid w:val="00DF091B"/>
    <w:rsid w:val="00DF10AC"/>
    <w:rsid w:val="00E4190E"/>
    <w:rsid w:val="00E43FA5"/>
    <w:rsid w:val="00E45851"/>
    <w:rsid w:val="00E54358"/>
    <w:rsid w:val="00E54F70"/>
    <w:rsid w:val="00E57948"/>
    <w:rsid w:val="00E7074A"/>
    <w:rsid w:val="00E74DAC"/>
    <w:rsid w:val="00E8775D"/>
    <w:rsid w:val="00E9296E"/>
    <w:rsid w:val="00EA4E92"/>
    <w:rsid w:val="00EA6875"/>
    <w:rsid w:val="00EB083F"/>
    <w:rsid w:val="00EB5D81"/>
    <w:rsid w:val="00ED2231"/>
    <w:rsid w:val="00ED682A"/>
    <w:rsid w:val="00F0069B"/>
    <w:rsid w:val="00F00DB7"/>
    <w:rsid w:val="00F02A0B"/>
    <w:rsid w:val="00F04298"/>
    <w:rsid w:val="00F04393"/>
    <w:rsid w:val="00F04AE2"/>
    <w:rsid w:val="00F06152"/>
    <w:rsid w:val="00F252F5"/>
    <w:rsid w:val="00F32D66"/>
    <w:rsid w:val="00F3577F"/>
    <w:rsid w:val="00F52B26"/>
    <w:rsid w:val="00F611D0"/>
    <w:rsid w:val="00F700A7"/>
    <w:rsid w:val="00F85B96"/>
    <w:rsid w:val="00F93BBA"/>
    <w:rsid w:val="00FB7527"/>
    <w:rsid w:val="00FC70D7"/>
    <w:rsid w:val="00FD5FEC"/>
    <w:rsid w:val="00FD7F0C"/>
    <w:rsid w:val="00FE147F"/>
    <w:rsid w:val="00FE7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1E33"/>
  <w15:chartTrackingRefBased/>
  <w15:docId w15:val="{349C85B1-C79A-4103-92F4-6305931E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6C9"/>
    <w:rPr>
      <w:color w:val="0563C1" w:themeColor="hyperlink"/>
      <w:u w:val="single"/>
    </w:rPr>
  </w:style>
  <w:style w:type="character" w:styleId="UnresolvedMention">
    <w:name w:val="Unresolved Mention"/>
    <w:basedOn w:val="DefaultParagraphFont"/>
    <w:uiPriority w:val="99"/>
    <w:semiHidden/>
    <w:unhideWhenUsed/>
    <w:rsid w:val="004856C9"/>
    <w:rPr>
      <w:color w:val="605E5C"/>
      <w:shd w:val="clear" w:color="auto" w:fill="E1DFDD"/>
    </w:rPr>
  </w:style>
  <w:style w:type="paragraph" w:styleId="ListParagraph">
    <w:name w:val="List Paragraph"/>
    <w:basedOn w:val="Normal"/>
    <w:uiPriority w:val="34"/>
    <w:qFormat/>
    <w:rsid w:val="004856C9"/>
    <w:pPr>
      <w:ind w:left="720"/>
      <w:contextualSpacing/>
    </w:pPr>
  </w:style>
  <w:style w:type="paragraph" w:styleId="FootnoteText">
    <w:name w:val="footnote text"/>
    <w:basedOn w:val="Normal"/>
    <w:link w:val="FootnoteTextChar"/>
    <w:uiPriority w:val="99"/>
    <w:semiHidden/>
    <w:unhideWhenUsed/>
    <w:rsid w:val="004C00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0B9"/>
    <w:rPr>
      <w:sz w:val="20"/>
      <w:szCs w:val="20"/>
    </w:rPr>
  </w:style>
  <w:style w:type="character" w:styleId="FootnoteReference">
    <w:name w:val="footnote reference"/>
    <w:basedOn w:val="DefaultParagraphFont"/>
    <w:uiPriority w:val="99"/>
    <w:semiHidden/>
    <w:unhideWhenUsed/>
    <w:rsid w:val="004C00B9"/>
    <w:rPr>
      <w:vertAlign w:val="superscript"/>
    </w:rPr>
  </w:style>
  <w:style w:type="paragraph" w:styleId="Header">
    <w:name w:val="header"/>
    <w:basedOn w:val="Normal"/>
    <w:link w:val="HeaderChar"/>
    <w:uiPriority w:val="99"/>
    <w:unhideWhenUsed/>
    <w:rsid w:val="00EA6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875"/>
  </w:style>
  <w:style w:type="paragraph" w:styleId="Footer">
    <w:name w:val="footer"/>
    <w:basedOn w:val="Normal"/>
    <w:link w:val="FooterChar"/>
    <w:uiPriority w:val="99"/>
    <w:unhideWhenUsed/>
    <w:rsid w:val="00EA6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875"/>
  </w:style>
  <w:style w:type="paragraph" w:customStyle="1" w:styleId="paragraph">
    <w:name w:val="paragraph"/>
    <w:basedOn w:val="Normal"/>
    <w:rsid w:val="001A50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A50BA"/>
  </w:style>
  <w:style w:type="character" w:customStyle="1" w:styleId="eop">
    <w:name w:val="eop"/>
    <w:basedOn w:val="DefaultParagraphFont"/>
    <w:rsid w:val="001A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events/20220428-international-law-association-british-branch-spring-conference-2022" TargetMode="External"/><Relationship Id="rId13" Type="http://schemas.openxmlformats.org/officeDocument/2006/relationships/hyperlink" Target="https://support.zoom.us/hc/en-us/articles/115005474943-Meeting-and-webinar-comparis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rey.ac.uk/events/20220428-international-law-association-british-branch-spring-conference-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com/en_gb/target-neutral/home/carbon-management-services/guidance-and-tools-to-run-lower-carbon-event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p.com/en_gb/target-neutral/home/carbon-management-services/guidance-and-tools-to-run-lower-carbon-events.html" TargetMode="External"/><Relationship Id="rId4" Type="http://schemas.openxmlformats.org/officeDocument/2006/relationships/settings" Target="settings.xml"/><Relationship Id="rId9" Type="http://schemas.openxmlformats.org/officeDocument/2006/relationships/hyperlink" Target="https://www.qmul.ac.uk/law/media/law/docs/events/ILA-Conference-2021---programm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106A-1C09-435C-AA49-5BB2E78F2101}">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1021</TotalTime>
  <Pages>7</Pages>
  <Words>3141</Words>
  <Characters>17910</Characters>
  <Application>Microsoft Office Word</Application>
  <DocSecurity>0</DocSecurity>
  <Lines>149</Lines>
  <Paragraphs>42</Paragraphs>
  <ScaleCrop>false</ScaleCrop>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Sarvarian, Arman Dr (School of Law)</dc:creator>
  <cp:keywords/>
  <dc:description/>
  <cp:lastModifiedBy>Sarvarian, Arman Dr (School of Law)</cp:lastModifiedBy>
  <cp:revision>309</cp:revision>
  <dcterms:created xsi:type="dcterms:W3CDTF">2022-05-02T14:12:00Z</dcterms:created>
  <dcterms:modified xsi:type="dcterms:W3CDTF">2022-05-07T15:22:00Z</dcterms:modified>
</cp:coreProperties>
</file>