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7F69" w14:textId="77777777" w:rsidR="00BE7785" w:rsidRPr="00BE7785" w:rsidRDefault="00BE7785" w:rsidP="00BE7785">
      <w:pPr>
        <w:spacing w:before="120" w:after="120" w:line="240" w:lineRule="auto"/>
        <w:rPr>
          <w:rFonts w:ascii="Arial" w:hAnsi="Arial" w:cs="Arial"/>
          <w:b/>
          <w:sz w:val="48"/>
          <w:szCs w:val="48"/>
        </w:rPr>
      </w:pPr>
      <w:r w:rsidRPr="00BE7785">
        <w:rPr>
          <w:rFonts w:ascii="Arial" w:hAnsi="Arial" w:cs="Arial"/>
          <w:noProof/>
          <w:lang w:eastAsia="en-GB"/>
        </w:rPr>
        <w:drawing>
          <wp:anchor distT="0" distB="0" distL="114300" distR="114300" simplePos="0" relativeHeight="251658240" behindDoc="0" locked="0" layoutInCell="1" allowOverlap="1" wp14:anchorId="24CB3B38" wp14:editId="23AB9B47">
            <wp:simplePos x="0" y="0"/>
            <wp:positionH relativeFrom="column">
              <wp:posOffset>3023870</wp:posOffset>
            </wp:positionH>
            <wp:positionV relativeFrom="paragraph">
              <wp:posOffset>-548640</wp:posOffset>
            </wp:positionV>
            <wp:extent cx="3093085" cy="14859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cstate="print">
                      <a:extLst>
                        <a:ext uri="{28A0092B-C50C-407E-A947-70E740481C1C}">
                          <a14:useLocalDpi xmlns:a14="http://schemas.microsoft.com/office/drawing/2010/main" val="0"/>
                        </a:ext>
                      </a:extLst>
                    </a:blip>
                    <a:srcRect l="69194" t="757" r="1292" b="80270"/>
                    <a:stretch>
                      <a:fillRect/>
                    </a:stretch>
                  </pic:blipFill>
                  <pic:spPr bwMode="auto">
                    <a:xfrm>
                      <a:off x="0" y="0"/>
                      <a:ext cx="3093085" cy="1485900"/>
                    </a:xfrm>
                    <a:prstGeom prst="rect">
                      <a:avLst/>
                    </a:prstGeom>
                    <a:noFill/>
                    <a:ln>
                      <a:noFill/>
                    </a:ln>
                  </pic:spPr>
                </pic:pic>
              </a:graphicData>
            </a:graphic>
          </wp:anchor>
        </w:drawing>
      </w:r>
    </w:p>
    <w:p w14:paraId="45CCBC21" w14:textId="77777777" w:rsidR="00BE7785" w:rsidRPr="00BE7785" w:rsidRDefault="00BE7785" w:rsidP="00BE7785">
      <w:pPr>
        <w:spacing w:before="120" w:after="120" w:line="240" w:lineRule="auto"/>
        <w:rPr>
          <w:rFonts w:ascii="Arial" w:hAnsi="Arial" w:cs="Arial"/>
          <w:sz w:val="48"/>
          <w:szCs w:val="48"/>
        </w:rPr>
      </w:pPr>
    </w:p>
    <w:p w14:paraId="5A5A27C9" w14:textId="77777777" w:rsidR="00BE7785" w:rsidRPr="00BE7785" w:rsidRDefault="00BE7785" w:rsidP="00BE7785">
      <w:pPr>
        <w:spacing w:before="120" w:after="120" w:line="240" w:lineRule="auto"/>
        <w:rPr>
          <w:rFonts w:ascii="Arial" w:hAnsi="Arial" w:cs="Arial"/>
          <w:sz w:val="48"/>
          <w:szCs w:val="48"/>
        </w:rPr>
      </w:pPr>
    </w:p>
    <w:p w14:paraId="4FB53624" w14:textId="77777777" w:rsidR="00BE7785" w:rsidRPr="00BE7785" w:rsidRDefault="00BE7785" w:rsidP="00BE7785">
      <w:pPr>
        <w:spacing w:before="120" w:after="120" w:line="240" w:lineRule="auto"/>
        <w:rPr>
          <w:rFonts w:ascii="Arial" w:hAnsi="Arial" w:cs="Arial"/>
          <w:color w:val="003D7D"/>
          <w:sz w:val="48"/>
          <w:szCs w:val="48"/>
        </w:rPr>
      </w:pPr>
    </w:p>
    <w:p w14:paraId="75EAE109" w14:textId="77777777" w:rsidR="00BE7785" w:rsidRPr="00BE7785" w:rsidRDefault="00BE7785" w:rsidP="00BE7785">
      <w:pPr>
        <w:spacing w:before="120" w:after="120" w:line="240" w:lineRule="auto"/>
        <w:rPr>
          <w:rFonts w:ascii="Arial" w:hAnsi="Arial" w:cs="Arial"/>
          <w:color w:val="003D7D"/>
          <w:sz w:val="48"/>
          <w:szCs w:val="48"/>
        </w:rPr>
      </w:pPr>
    </w:p>
    <w:p w14:paraId="4EC80DEE" w14:textId="77777777" w:rsidR="00BE7785" w:rsidRPr="00BE7785" w:rsidRDefault="00BE7785" w:rsidP="00BE7785">
      <w:pPr>
        <w:spacing w:before="120" w:after="120" w:line="240" w:lineRule="auto"/>
        <w:rPr>
          <w:rFonts w:ascii="Arial" w:hAnsi="Arial" w:cs="Arial"/>
          <w:color w:val="003D7D"/>
          <w:sz w:val="48"/>
          <w:szCs w:val="48"/>
        </w:rPr>
      </w:pPr>
    </w:p>
    <w:p w14:paraId="6BCB4072" w14:textId="3B20B149" w:rsidR="00BE7785" w:rsidRPr="00156755" w:rsidRDefault="00BE7785" w:rsidP="00BE7785">
      <w:pPr>
        <w:spacing w:before="120" w:after="120" w:line="240" w:lineRule="auto"/>
        <w:rPr>
          <w:rFonts w:ascii="Arial" w:hAnsi="Arial" w:cs="Arial"/>
          <w:color w:val="1F497D" w:themeColor="text2"/>
          <w:sz w:val="64"/>
          <w:szCs w:val="56"/>
        </w:rPr>
      </w:pPr>
      <w:r w:rsidRPr="00156755">
        <w:rPr>
          <w:rFonts w:ascii="Arial" w:hAnsi="Arial" w:cs="Arial"/>
          <w:color w:val="1F497D" w:themeColor="text2"/>
          <w:sz w:val="64"/>
          <w:szCs w:val="56"/>
        </w:rPr>
        <w:t xml:space="preserve">Code of practice for </w:t>
      </w:r>
      <w:r w:rsidR="00B70C74">
        <w:rPr>
          <w:rFonts w:ascii="Arial" w:hAnsi="Arial" w:cs="Arial"/>
          <w:color w:val="1F497D" w:themeColor="text2"/>
          <w:sz w:val="64"/>
          <w:szCs w:val="56"/>
        </w:rPr>
        <w:t>u</w:t>
      </w:r>
      <w:r w:rsidR="000058C2">
        <w:rPr>
          <w:rFonts w:ascii="Arial" w:hAnsi="Arial" w:cs="Arial"/>
          <w:color w:val="1F497D" w:themeColor="text2"/>
          <w:sz w:val="64"/>
          <w:szCs w:val="56"/>
        </w:rPr>
        <w:t xml:space="preserve">ndergraduate </w:t>
      </w:r>
      <w:r w:rsidR="00B70C74">
        <w:rPr>
          <w:rFonts w:ascii="Arial" w:hAnsi="Arial" w:cs="Arial"/>
          <w:color w:val="1F497D" w:themeColor="text2"/>
          <w:sz w:val="64"/>
          <w:szCs w:val="56"/>
        </w:rPr>
        <w:t>a</w:t>
      </w:r>
      <w:r w:rsidR="000058C2">
        <w:rPr>
          <w:rFonts w:ascii="Arial" w:hAnsi="Arial" w:cs="Arial"/>
          <w:color w:val="1F497D" w:themeColor="text2"/>
          <w:sz w:val="64"/>
          <w:szCs w:val="56"/>
        </w:rPr>
        <w:t>dmissions</w:t>
      </w:r>
    </w:p>
    <w:p w14:paraId="6F743F36" w14:textId="77777777" w:rsidR="00BE7785" w:rsidRPr="00BE7785" w:rsidRDefault="00BE7785" w:rsidP="00BE7785">
      <w:pPr>
        <w:spacing w:before="120" w:after="120" w:line="240" w:lineRule="auto"/>
        <w:rPr>
          <w:rFonts w:ascii="Arial" w:hAnsi="Arial" w:cs="Arial"/>
          <w:color w:val="003D7D"/>
          <w:sz w:val="48"/>
          <w:szCs w:val="48"/>
        </w:rPr>
      </w:pPr>
    </w:p>
    <w:p w14:paraId="59A9E6BD" w14:textId="77777777" w:rsidR="00BE7785" w:rsidRPr="00BE7785" w:rsidRDefault="00BE7785" w:rsidP="00BE7785">
      <w:pPr>
        <w:spacing w:before="120" w:after="120" w:line="240" w:lineRule="auto"/>
        <w:rPr>
          <w:rFonts w:ascii="Arial" w:hAnsi="Arial" w:cs="Arial"/>
          <w:color w:val="003D7D"/>
          <w:sz w:val="48"/>
          <w:szCs w:val="48"/>
        </w:rPr>
      </w:pPr>
    </w:p>
    <w:p w14:paraId="6605BEB1" w14:textId="77777777" w:rsidR="00BE7785" w:rsidRPr="00BE7785" w:rsidRDefault="00BE7785" w:rsidP="00BE7785">
      <w:pPr>
        <w:spacing w:before="120" w:after="120" w:line="240" w:lineRule="auto"/>
        <w:rPr>
          <w:rFonts w:ascii="Arial" w:hAnsi="Arial" w:cs="Arial"/>
          <w:color w:val="003D7D"/>
          <w:sz w:val="48"/>
          <w:szCs w:val="48"/>
        </w:rPr>
      </w:pPr>
    </w:p>
    <w:p w14:paraId="05718AEF" w14:textId="77777777" w:rsidR="00BE7785" w:rsidRPr="00BE7785" w:rsidRDefault="00BE7785" w:rsidP="00BE7785">
      <w:pPr>
        <w:spacing w:before="120" w:after="120" w:line="240" w:lineRule="auto"/>
        <w:rPr>
          <w:rFonts w:ascii="Arial" w:hAnsi="Arial" w:cs="Arial"/>
          <w:color w:val="003D7D"/>
          <w:sz w:val="48"/>
          <w:szCs w:val="48"/>
        </w:rPr>
      </w:pPr>
    </w:p>
    <w:p w14:paraId="6FEBA540" w14:textId="77777777" w:rsidR="00BE7785" w:rsidRPr="00BE7785" w:rsidRDefault="00BE7785" w:rsidP="00BE7785">
      <w:pPr>
        <w:spacing w:before="120" w:after="120" w:line="240" w:lineRule="auto"/>
        <w:rPr>
          <w:rFonts w:ascii="Arial" w:hAnsi="Arial" w:cs="Arial"/>
          <w:color w:val="003D7D"/>
          <w:sz w:val="48"/>
          <w:szCs w:val="48"/>
        </w:rPr>
      </w:pPr>
    </w:p>
    <w:p w14:paraId="3E2F6B75" w14:textId="77777777" w:rsidR="00BE7785" w:rsidRPr="00BE7785" w:rsidRDefault="00BE7785" w:rsidP="00BE7785">
      <w:pPr>
        <w:spacing w:before="120" w:after="120" w:line="240" w:lineRule="auto"/>
        <w:rPr>
          <w:rFonts w:ascii="Arial" w:hAnsi="Arial" w:cs="Arial"/>
          <w:color w:val="003D7D"/>
          <w:sz w:val="48"/>
          <w:szCs w:val="48"/>
        </w:rPr>
      </w:pPr>
    </w:p>
    <w:p w14:paraId="3C3A2DDD" w14:textId="77777777" w:rsidR="00BE7785" w:rsidRPr="00BE7785" w:rsidRDefault="00BE7785" w:rsidP="00BE7785">
      <w:pPr>
        <w:spacing w:before="120" w:after="120" w:line="240" w:lineRule="auto"/>
        <w:rPr>
          <w:rFonts w:ascii="Arial" w:hAnsi="Arial" w:cs="Arial"/>
          <w:color w:val="003D7D"/>
          <w:sz w:val="48"/>
          <w:szCs w:val="48"/>
        </w:rPr>
      </w:pPr>
    </w:p>
    <w:p w14:paraId="1EFE4045" w14:textId="77777777" w:rsidR="00BE7785" w:rsidRDefault="00BE7785" w:rsidP="00BE7785">
      <w:pPr>
        <w:spacing w:before="120" w:after="120" w:line="240" w:lineRule="auto"/>
        <w:rPr>
          <w:rFonts w:ascii="Arial" w:hAnsi="Arial" w:cs="Arial"/>
          <w:color w:val="003D7D"/>
          <w:sz w:val="48"/>
          <w:szCs w:val="48"/>
        </w:rPr>
      </w:pPr>
    </w:p>
    <w:p w14:paraId="1AF44766" w14:textId="77777777" w:rsidR="00BE7785" w:rsidRDefault="00BE7785" w:rsidP="00BE7785">
      <w:pPr>
        <w:spacing w:before="120" w:after="120" w:line="240" w:lineRule="auto"/>
        <w:rPr>
          <w:rFonts w:ascii="Arial" w:hAnsi="Arial" w:cs="Arial"/>
          <w:color w:val="003D7D"/>
          <w:sz w:val="48"/>
          <w:szCs w:val="48"/>
        </w:rPr>
      </w:pPr>
    </w:p>
    <w:p w14:paraId="2863CD9A" w14:textId="77777777" w:rsidR="006F10B4" w:rsidRDefault="006F10B4" w:rsidP="00BE7785">
      <w:pPr>
        <w:spacing w:before="120" w:after="120" w:line="240" w:lineRule="auto"/>
        <w:rPr>
          <w:rFonts w:ascii="Arial" w:hAnsi="Arial" w:cs="Arial"/>
          <w:color w:val="003D7D"/>
          <w:sz w:val="48"/>
          <w:szCs w:val="48"/>
        </w:rPr>
      </w:pPr>
    </w:p>
    <w:p w14:paraId="17D3539B" w14:textId="6F8F4E00" w:rsidR="00693BC8" w:rsidRPr="00BE7785" w:rsidRDefault="00BE7785" w:rsidP="00BE7785">
      <w:pPr>
        <w:pStyle w:val="NoSpacing"/>
        <w:spacing w:before="120" w:after="120"/>
        <w:rPr>
          <w:rFonts w:cs="Arial"/>
        </w:rPr>
      </w:pPr>
      <w:r w:rsidRPr="00BE7785">
        <w:rPr>
          <w:rFonts w:cs="Arial"/>
          <w:color w:val="1F497D"/>
          <w:sz w:val="40"/>
          <w:szCs w:val="40"/>
        </w:rPr>
        <w:t xml:space="preserve">Academic </w:t>
      </w:r>
      <w:r w:rsidR="001F4E4D">
        <w:rPr>
          <w:rFonts w:cs="Arial"/>
          <w:color w:val="1F497D"/>
          <w:sz w:val="40"/>
          <w:szCs w:val="40"/>
        </w:rPr>
        <w:t xml:space="preserve">entry </w:t>
      </w:r>
      <w:r w:rsidRPr="00BE7785">
        <w:rPr>
          <w:rFonts w:cs="Arial"/>
          <w:color w:val="1F497D"/>
          <w:sz w:val="40"/>
          <w:szCs w:val="40"/>
        </w:rPr>
        <w:t>year 20</w:t>
      </w:r>
      <w:r w:rsidR="0092163A">
        <w:rPr>
          <w:rFonts w:cs="Arial"/>
          <w:color w:val="1F497D"/>
          <w:sz w:val="40"/>
          <w:szCs w:val="40"/>
        </w:rPr>
        <w:t>2</w:t>
      </w:r>
      <w:r w:rsidR="000058C2">
        <w:rPr>
          <w:rFonts w:cs="Arial"/>
          <w:color w:val="1F497D"/>
          <w:sz w:val="40"/>
          <w:szCs w:val="40"/>
        </w:rPr>
        <w:t>3</w:t>
      </w:r>
      <w:r w:rsidR="001A4A9B">
        <w:rPr>
          <w:rFonts w:cs="Arial"/>
          <w:color w:val="1F497D"/>
          <w:sz w:val="40"/>
          <w:szCs w:val="40"/>
        </w:rPr>
        <w:t>/2</w:t>
      </w:r>
      <w:r w:rsidR="000058C2">
        <w:rPr>
          <w:rFonts w:cs="Arial"/>
          <w:color w:val="1F497D"/>
          <w:sz w:val="40"/>
          <w:szCs w:val="40"/>
        </w:rPr>
        <w:t>4</w:t>
      </w:r>
    </w:p>
    <w:p w14:paraId="213B1FCD" w14:textId="77777777" w:rsidR="00C679BC" w:rsidRPr="00BE7785" w:rsidRDefault="00C679BC">
      <w:pPr>
        <w:rPr>
          <w:rFonts w:ascii="Arial" w:hAnsi="Arial" w:cs="Arial"/>
        </w:rPr>
        <w:sectPr w:rsidR="00C679BC" w:rsidRPr="00BE7785" w:rsidSect="00693BC8">
          <w:headerReference w:type="default" r:id="rId12"/>
          <w:footerReference w:type="default" r:id="rId13"/>
          <w:pgSz w:w="11906" w:h="16838"/>
          <w:pgMar w:top="1440" w:right="1440" w:bottom="1440" w:left="1440" w:header="708" w:footer="708" w:gutter="0"/>
          <w:pgNumType w:start="1"/>
          <w:cols w:space="708"/>
          <w:docGrid w:linePitch="360"/>
        </w:sectPr>
      </w:pPr>
    </w:p>
    <w:p w14:paraId="743FC1AD" w14:textId="77777777" w:rsidR="00693BC8" w:rsidRDefault="00693BC8" w:rsidP="00BE7785">
      <w:pPr>
        <w:spacing w:before="120" w:after="120" w:line="240" w:lineRule="auto"/>
        <w:rPr>
          <w:rFonts w:ascii="Arial" w:hAnsi="Arial" w:cs="Arial"/>
          <w:b/>
          <w:sz w:val="24"/>
          <w:szCs w:val="24"/>
        </w:rPr>
      </w:pPr>
      <w:r w:rsidRPr="00BE7785">
        <w:rPr>
          <w:rFonts w:ascii="Arial" w:hAnsi="Arial" w:cs="Arial"/>
          <w:b/>
          <w:sz w:val="24"/>
          <w:szCs w:val="24"/>
        </w:rPr>
        <w:lastRenderedPageBreak/>
        <w:t>Contents</w:t>
      </w:r>
    </w:p>
    <w:p w14:paraId="14589F88" w14:textId="73346A29" w:rsidR="006D3E72" w:rsidRDefault="00643960">
      <w:pPr>
        <w:pStyle w:val="TOC1"/>
        <w:tabs>
          <w:tab w:val="right" w:leader="dot" w:pos="9016"/>
        </w:tabs>
        <w:rPr>
          <w:rFonts w:asciiTheme="minorHAnsi" w:eastAsiaTheme="minorEastAsia" w:hAnsiTheme="minorHAnsi"/>
          <w:noProof/>
          <w:lang w:eastAsia="en-GB"/>
        </w:rPr>
      </w:pPr>
      <w:r>
        <w:rPr>
          <w:rFonts w:cs="Arial"/>
        </w:rPr>
        <w:fldChar w:fldCharType="begin"/>
      </w:r>
      <w:r w:rsidR="00527116">
        <w:rPr>
          <w:rFonts w:cs="Arial"/>
        </w:rPr>
        <w:instrText xml:space="preserve"> TOC \o "1-3" \h \z \u </w:instrText>
      </w:r>
      <w:r>
        <w:rPr>
          <w:rFonts w:cs="Arial"/>
        </w:rPr>
        <w:fldChar w:fldCharType="separate"/>
      </w:r>
      <w:hyperlink w:anchor="_Toc115084516" w:history="1">
        <w:r w:rsidR="006D3E72" w:rsidRPr="00A0350C">
          <w:rPr>
            <w:rStyle w:val="Hyperlink"/>
            <w:rFonts w:cs="Arial"/>
            <w:noProof/>
          </w:rPr>
          <w:t>Context</w:t>
        </w:r>
        <w:r w:rsidR="006D3E72">
          <w:rPr>
            <w:noProof/>
            <w:webHidden/>
          </w:rPr>
          <w:tab/>
        </w:r>
        <w:r w:rsidR="006D3E72">
          <w:rPr>
            <w:noProof/>
            <w:webHidden/>
          </w:rPr>
          <w:fldChar w:fldCharType="begin"/>
        </w:r>
        <w:r w:rsidR="006D3E72">
          <w:rPr>
            <w:noProof/>
            <w:webHidden/>
          </w:rPr>
          <w:instrText xml:space="preserve"> PAGEREF _Toc115084516 \h </w:instrText>
        </w:r>
        <w:r w:rsidR="006D3E72">
          <w:rPr>
            <w:noProof/>
            <w:webHidden/>
          </w:rPr>
        </w:r>
        <w:r w:rsidR="006D3E72">
          <w:rPr>
            <w:noProof/>
            <w:webHidden/>
          </w:rPr>
          <w:fldChar w:fldCharType="separate"/>
        </w:r>
        <w:r w:rsidR="006D3E72">
          <w:rPr>
            <w:noProof/>
            <w:webHidden/>
          </w:rPr>
          <w:t>1</w:t>
        </w:r>
        <w:r w:rsidR="006D3E72">
          <w:rPr>
            <w:noProof/>
            <w:webHidden/>
          </w:rPr>
          <w:fldChar w:fldCharType="end"/>
        </w:r>
      </w:hyperlink>
    </w:p>
    <w:p w14:paraId="26ECE093" w14:textId="064BC8DD" w:rsidR="006D3E72" w:rsidRDefault="00CC1371">
      <w:pPr>
        <w:pStyle w:val="TOC1"/>
        <w:tabs>
          <w:tab w:val="right" w:leader="dot" w:pos="9016"/>
        </w:tabs>
        <w:rPr>
          <w:rFonts w:asciiTheme="minorHAnsi" w:eastAsiaTheme="minorEastAsia" w:hAnsiTheme="minorHAnsi"/>
          <w:noProof/>
          <w:lang w:eastAsia="en-GB"/>
        </w:rPr>
      </w:pPr>
      <w:hyperlink w:anchor="_Toc115084517" w:history="1">
        <w:r w:rsidR="006D3E72" w:rsidRPr="00A0350C">
          <w:rPr>
            <w:rStyle w:val="Hyperlink"/>
            <w:rFonts w:cs="Arial"/>
            <w:noProof/>
          </w:rPr>
          <w:t>Purpose</w:t>
        </w:r>
        <w:r w:rsidR="006D3E72">
          <w:rPr>
            <w:noProof/>
            <w:webHidden/>
          </w:rPr>
          <w:tab/>
        </w:r>
        <w:r w:rsidR="006D3E72">
          <w:rPr>
            <w:noProof/>
            <w:webHidden/>
          </w:rPr>
          <w:fldChar w:fldCharType="begin"/>
        </w:r>
        <w:r w:rsidR="006D3E72">
          <w:rPr>
            <w:noProof/>
            <w:webHidden/>
          </w:rPr>
          <w:instrText xml:space="preserve"> PAGEREF _Toc115084517 \h </w:instrText>
        </w:r>
        <w:r w:rsidR="006D3E72">
          <w:rPr>
            <w:noProof/>
            <w:webHidden/>
          </w:rPr>
        </w:r>
        <w:r w:rsidR="006D3E72">
          <w:rPr>
            <w:noProof/>
            <w:webHidden/>
          </w:rPr>
          <w:fldChar w:fldCharType="separate"/>
        </w:r>
        <w:r w:rsidR="006D3E72">
          <w:rPr>
            <w:noProof/>
            <w:webHidden/>
          </w:rPr>
          <w:t>1</w:t>
        </w:r>
        <w:r w:rsidR="006D3E72">
          <w:rPr>
            <w:noProof/>
            <w:webHidden/>
          </w:rPr>
          <w:fldChar w:fldCharType="end"/>
        </w:r>
      </w:hyperlink>
    </w:p>
    <w:p w14:paraId="68703BC5" w14:textId="5E5771EE" w:rsidR="006D3E72" w:rsidRDefault="00CC1371">
      <w:pPr>
        <w:pStyle w:val="TOC1"/>
        <w:tabs>
          <w:tab w:val="right" w:leader="dot" w:pos="9016"/>
        </w:tabs>
        <w:rPr>
          <w:rFonts w:asciiTheme="minorHAnsi" w:eastAsiaTheme="minorEastAsia" w:hAnsiTheme="minorHAnsi"/>
          <w:noProof/>
          <w:lang w:eastAsia="en-GB"/>
        </w:rPr>
      </w:pPr>
      <w:hyperlink w:anchor="_Toc115084518" w:history="1">
        <w:r w:rsidR="006D3E72" w:rsidRPr="00A0350C">
          <w:rPr>
            <w:rStyle w:val="Hyperlink"/>
            <w:rFonts w:cs="Arial"/>
            <w:noProof/>
          </w:rPr>
          <w:t>Principles</w:t>
        </w:r>
        <w:r w:rsidR="006D3E72">
          <w:rPr>
            <w:noProof/>
            <w:webHidden/>
          </w:rPr>
          <w:tab/>
        </w:r>
        <w:r w:rsidR="006D3E72">
          <w:rPr>
            <w:noProof/>
            <w:webHidden/>
          </w:rPr>
          <w:fldChar w:fldCharType="begin"/>
        </w:r>
        <w:r w:rsidR="006D3E72">
          <w:rPr>
            <w:noProof/>
            <w:webHidden/>
          </w:rPr>
          <w:instrText xml:space="preserve"> PAGEREF _Toc115084518 \h </w:instrText>
        </w:r>
        <w:r w:rsidR="006D3E72">
          <w:rPr>
            <w:noProof/>
            <w:webHidden/>
          </w:rPr>
        </w:r>
        <w:r w:rsidR="006D3E72">
          <w:rPr>
            <w:noProof/>
            <w:webHidden/>
          </w:rPr>
          <w:fldChar w:fldCharType="separate"/>
        </w:r>
        <w:r w:rsidR="006D3E72">
          <w:rPr>
            <w:noProof/>
            <w:webHidden/>
          </w:rPr>
          <w:t>1</w:t>
        </w:r>
        <w:r w:rsidR="006D3E72">
          <w:rPr>
            <w:noProof/>
            <w:webHidden/>
          </w:rPr>
          <w:fldChar w:fldCharType="end"/>
        </w:r>
      </w:hyperlink>
    </w:p>
    <w:p w14:paraId="34B1E2A3" w14:textId="60B74C42" w:rsidR="006D3E72" w:rsidRDefault="00CC1371">
      <w:pPr>
        <w:pStyle w:val="TOC1"/>
        <w:tabs>
          <w:tab w:val="right" w:leader="dot" w:pos="9016"/>
        </w:tabs>
        <w:rPr>
          <w:rFonts w:asciiTheme="minorHAnsi" w:eastAsiaTheme="minorEastAsia" w:hAnsiTheme="minorHAnsi"/>
          <w:noProof/>
          <w:lang w:eastAsia="en-GB"/>
        </w:rPr>
      </w:pPr>
      <w:hyperlink w:anchor="_Toc115084519" w:history="1">
        <w:r w:rsidR="006D3E72" w:rsidRPr="00A0350C">
          <w:rPr>
            <w:rStyle w:val="Hyperlink"/>
            <w:noProof/>
          </w:rPr>
          <w:t>Roles and responsibilities</w:t>
        </w:r>
        <w:r w:rsidR="006D3E72">
          <w:rPr>
            <w:noProof/>
            <w:webHidden/>
          </w:rPr>
          <w:tab/>
        </w:r>
        <w:r w:rsidR="006D3E72">
          <w:rPr>
            <w:noProof/>
            <w:webHidden/>
          </w:rPr>
          <w:fldChar w:fldCharType="begin"/>
        </w:r>
        <w:r w:rsidR="006D3E72">
          <w:rPr>
            <w:noProof/>
            <w:webHidden/>
          </w:rPr>
          <w:instrText xml:space="preserve"> PAGEREF _Toc115084519 \h </w:instrText>
        </w:r>
        <w:r w:rsidR="006D3E72">
          <w:rPr>
            <w:noProof/>
            <w:webHidden/>
          </w:rPr>
        </w:r>
        <w:r w:rsidR="006D3E72">
          <w:rPr>
            <w:noProof/>
            <w:webHidden/>
          </w:rPr>
          <w:fldChar w:fldCharType="separate"/>
        </w:r>
        <w:r w:rsidR="006D3E72">
          <w:rPr>
            <w:noProof/>
            <w:webHidden/>
          </w:rPr>
          <w:t>2</w:t>
        </w:r>
        <w:r w:rsidR="006D3E72">
          <w:rPr>
            <w:noProof/>
            <w:webHidden/>
          </w:rPr>
          <w:fldChar w:fldCharType="end"/>
        </w:r>
      </w:hyperlink>
    </w:p>
    <w:p w14:paraId="27505A89" w14:textId="0F6607CA" w:rsidR="006D3E72" w:rsidRDefault="00CC1371">
      <w:pPr>
        <w:pStyle w:val="TOC1"/>
        <w:tabs>
          <w:tab w:val="right" w:leader="dot" w:pos="9016"/>
        </w:tabs>
        <w:rPr>
          <w:rFonts w:asciiTheme="minorHAnsi" w:eastAsiaTheme="minorEastAsia" w:hAnsiTheme="minorHAnsi"/>
          <w:noProof/>
          <w:lang w:eastAsia="en-GB"/>
        </w:rPr>
      </w:pPr>
      <w:hyperlink w:anchor="_Toc115084520" w:history="1">
        <w:r w:rsidR="006D3E72" w:rsidRPr="00A0350C">
          <w:rPr>
            <w:rStyle w:val="Hyperlink"/>
            <w:noProof/>
          </w:rPr>
          <w:t>Admissions criteria and selection principles</w:t>
        </w:r>
        <w:r w:rsidR="006D3E72">
          <w:rPr>
            <w:noProof/>
            <w:webHidden/>
          </w:rPr>
          <w:tab/>
        </w:r>
        <w:r w:rsidR="006D3E72">
          <w:rPr>
            <w:noProof/>
            <w:webHidden/>
          </w:rPr>
          <w:fldChar w:fldCharType="begin"/>
        </w:r>
        <w:r w:rsidR="006D3E72">
          <w:rPr>
            <w:noProof/>
            <w:webHidden/>
          </w:rPr>
          <w:instrText xml:space="preserve"> PAGEREF _Toc115084520 \h </w:instrText>
        </w:r>
        <w:r w:rsidR="006D3E72">
          <w:rPr>
            <w:noProof/>
            <w:webHidden/>
          </w:rPr>
        </w:r>
        <w:r w:rsidR="006D3E72">
          <w:rPr>
            <w:noProof/>
            <w:webHidden/>
          </w:rPr>
          <w:fldChar w:fldCharType="separate"/>
        </w:r>
        <w:r w:rsidR="006D3E72">
          <w:rPr>
            <w:noProof/>
            <w:webHidden/>
          </w:rPr>
          <w:t>2</w:t>
        </w:r>
        <w:r w:rsidR="006D3E72">
          <w:rPr>
            <w:noProof/>
            <w:webHidden/>
          </w:rPr>
          <w:fldChar w:fldCharType="end"/>
        </w:r>
      </w:hyperlink>
    </w:p>
    <w:p w14:paraId="50AE1302" w14:textId="580AB6A6" w:rsidR="006D3E72" w:rsidRDefault="00CC1371">
      <w:pPr>
        <w:pStyle w:val="TOC2"/>
        <w:rPr>
          <w:rFonts w:asciiTheme="minorHAnsi" w:hAnsiTheme="minorHAnsi" w:cstheme="minorBidi"/>
        </w:rPr>
      </w:pPr>
      <w:hyperlink w:anchor="_Toc115084521" w:history="1">
        <w:r w:rsidR="006D3E72" w:rsidRPr="00A0350C">
          <w:rPr>
            <w:rStyle w:val="Hyperlink"/>
          </w:rPr>
          <w:t>English Language</w:t>
        </w:r>
        <w:r w:rsidR="006D3E72">
          <w:rPr>
            <w:webHidden/>
          </w:rPr>
          <w:tab/>
        </w:r>
        <w:r w:rsidR="006D3E72">
          <w:rPr>
            <w:webHidden/>
          </w:rPr>
          <w:fldChar w:fldCharType="begin"/>
        </w:r>
        <w:r w:rsidR="006D3E72">
          <w:rPr>
            <w:webHidden/>
          </w:rPr>
          <w:instrText xml:space="preserve"> PAGEREF _Toc115084521 \h </w:instrText>
        </w:r>
        <w:r w:rsidR="006D3E72">
          <w:rPr>
            <w:webHidden/>
          </w:rPr>
        </w:r>
        <w:r w:rsidR="006D3E72">
          <w:rPr>
            <w:webHidden/>
          </w:rPr>
          <w:fldChar w:fldCharType="separate"/>
        </w:r>
        <w:r w:rsidR="006D3E72">
          <w:rPr>
            <w:webHidden/>
          </w:rPr>
          <w:t>3</w:t>
        </w:r>
        <w:r w:rsidR="006D3E72">
          <w:rPr>
            <w:webHidden/>
          </w:rPr>
          <w:fldChar w:fldCharType="end"/>
        </w:r>
      </w:hyperlink>
    </w:p>
    <w:p w14:paraId="411C1A61" w14:textId="36092B82" w:rsidR="006D3E72" w:rsidRDefault="00CC1371">
      <w:pPr>
        <w:pStyle w:val="TOC1"/>
        <w:tabs>
          <w:tab w:val="right" w:leader="dot" w:pos="9016"/>
        </w:tabs>
        <w:rPr>
          <w:rFonts w:asciiTheme="minorHAnsi" w:eastAsiaTheme="minorEastAsia" w:hAnsiTheme="minorHAnsi"/>
          <w:noProof/>
          <w:lang w:eastAsia="en-GB"/>
        </w:rPr>
      </w:pPr>
      <w:hyperlink w:anchor="_Toc115084522" w:history="1">
        <w:r w:rsidR="006D3E72" w:rsidRPr="00A0350C">
          <w:rPr>
            <w:rStyle w:val="Hyperlink"/>
            <w:noProof/>
          </w:rPr>
          <w:t>Extenuating circumstances</w:t>
        </w:r>
        <w:r w:rsidR="006D3E72">
          <w:rPr>
            <w:noProof/>
            <w:webHidden/>
          </w:rPr>
          <w:tab/>
        </w:r>
        <w:r w:rsidR="006D3E72">
          <w:rPr>
            <w:noProof/>
            <w:webHidden/>
          </w:rPr>
          <w:fldChar w:fldCharType="begin"/>
        </w:r>
        <w:r w:rsidR="006D3E72">
          <w:rPr>
            <w:noProof/>
            <w:webHidden/>
          </w:rPr>
          <w:instrText xml:space="preserve"> PAGEREF _Toc115084522 \h </w:instrText>
        </w:r>
        <w:r w:rsidR="006D3E72">
          <w:rPr>
            <w:noProof/>
            <w:webHidden/>
          </w:rPr>
        </w:r>
        <w:r w:rsidR="006D3E72">
          <w:rPr>
            <w:noProof/>
            <w:webHidden/>
          </w:rPr>
          <w:fldChar w:fldCharType="separate"/>
        </w:r>
        <w:r w:rsidR="006D3E72">
          <w:rPr>
            <w:noProof/>
            <w:webHidden/>
          </w:rPr>
          <w:t>4</w:t>
        </w:r>
        <w:r w:rsidR="006D3E72">
          <w:rPr>
            <w:noProof/>
            <w:webHidden/>
          </w:rPr>
          <w:fldChar w:fldCharType="end"/>
        </w:r>
      </w:hyperlink>
    </w:p>
    <w:p w14:paraId="6E2CCF3B" w14:textId="7FDF9B56" w:rsidR="006D3E72" w:rsidRDefault="00CC1371">
      <w:pPr>
        <w:pStyle w:val="TOC1"/>
        <w:tabs>
          <w:tab w:val="right" w:leader="dot" w:pos="9016"/>
        </w:tabs>
        <w:rPr>
          <w:rFonts w:asciiTheme="minorHAnsi" w:eastAsiaTheme="minorEastAsia" w:hAnsiTheme="minorHAnsi"/>
          <w:noProof/>
          <w:lang w:eastAsia="en-GB"/>
        </w:rPr>
      </w:pPr>
      <w:hyperlink w:anchor="_Toc115084523" w:history="1">
        <w:r w:rsidR="006D3E72" w:rsidRPr="00A0350C">
          <w:rPr>
            <w:rStyle w:val="Hyperlink"/>
            <w:noProof/>
          </w:rPr>
          <w:t>Interviews and auditions</w:t>
        </w:r>
        <w:r w:rsidR="006D3E72">
          <w:rPr>
            <w:noProof/>
            <w:webHidden/>
          </w:rPr>
          <w:tab/>
        </w:r>
        <w:r w:rsidR="006D3E72">
          <w:rPr>
            <w:noProof/>
            <w:webHidden/>
          </w:rPr>
          <w:fldChar w:fldCharType="begin"/>
        </w:r>
        <w:r w:rsidR="006D3E72">
          <w:rPr>
            <w:noProof/>
            <w:webHidden/>
          </w:rPr>
          <w:instrText xml:space="preserve"> PAGEREF _Toc115084523 \h </w:instrText>
        </w:r>
        <w:r w:rsidR="006D3E72">
          <w:rPr>
            <w:noProof/>
            <w:webHidden/>
          </w:rPr>
        </w:r>
        <w:r w:rsidR="006D3E72">
          <w:rPr>
            <w:noProof/>
            <w:webHidden/>
          </w:rPr>
          <w:fldChar w:fldCharType="separate"/>
        </w:r>
        <w:r w:rsidR="006D3E72">
          <w:rPr>
            <w:noProof/>
            <w:webHidden/>
          </w:rPr>
          <w:t>4</w:t>
        </w:r>
        <w:r w:rsidR="006D3E72">
          <w:rPr>
            <w:noProof/>
            <w:webHidden/>
          </w:rPr>
          <w:fldChar w:fldCharType="end"/>
        </w:r>
      </w:hyperlink>
    </w:p>
    <w:p w14:paraId="4816FC06" w14:textId="6DB423D1" w:rsidR="006D3E72" w:rsidRDefault="00CC1371">
      <w:pPr>
        <w:pStyle w:val="TOC1"/>
        <w:tabs>
          <w:tab w:val="right" w:leader="dot" w:pos="9016"/>
        </w:tabs>
        <w:rPr>
          <w:rFonts w:asciiTheme="minorHAnsi" w:eastAsiaTheme="minorEastAsia" w:hAnsiTheme="minorHAnsi"/>
          <w:noProof/>
          <w:lang w:eastAsia="en-GB"/>
        </w:rPr>
      </w:pPr>
      <w:hyperlink w:anchor="_Toc115084524" w:history="1">
        <w:r w:rsidR="006D3E72" w:rsidRPr="00A0350C">
          <w:rPr>
            <w:rStyle w:val="Hyperlink"/>
            <w:noProof/>
          </w:rPr>
          <w:t>Deferred entry</w:t>
        </w:r>
        <w:r w:rsidR="006D3E72">
          <w:rPr>
            <w:noProof/>
            <w:webHidden/>
          </w:rPr>
          <w:tab/>
        </w:r>
        <w:r w:rsidR="006D3E72">
          <w:rPr>
            <w:noProof/>
            <w:webHidden/>
          </w:rPr>
          <w:fldChar w:fldCharType="begin"/>
        </w:r>
        <w:r w:rsidR="006D3E72">
          <w:rPr>
            <w:noProof/>
            <w:webHidden/>
          </w:rPr>
          <w:instrText xml:space="preserve"> PAGEREF _Toc115084524 \h </w:instrText>
        </w:r>
        <w:r w:rsidR="006D3E72">
          <w:rPr>
            <w:noProof/>
            <w:webHidden/>
          </w:rPr>
        </w:r>
        <w:r w:rsidR="006D3E72">
          <w:rPr>
            <w:noProof/>
            <w:webHidden/>
          </w:rPr>
          <w:fldChar w:fldCharType="separate"/>
        </w:r>
        <w:r w:rsidR="006D3E72">
          <w:rPr>
            <w:noProof/>
            <w:webHidden/>
          </w:rPr>
          <w:t>4</w:t>
        </w:r>
        <w:r w:rsidR="006D3E72">
          <w:rPr>
            <w:noProof/>
            <w:webHidden/>
          </w:rPr>
          <w:fldChar w:fldCharType="end"/>
        </w:r>
      </w:hyperlink>
    </w:p>
    <w:p w14:paraId="34CF5A1B" w14:textId="04D8ADDD" w:rsidR="006D3E72" w:rsidRDefault="00CC1371">
      <w:pPr>
        <w:pStyle w:val="TOC1"/>
        <w:tabs>
          <w:tab w:val="right" w:leader="dot" w:pos="9016"/>
        </w:tabs>
        <w:rPr>
          <w:rFonts w:asciiTheme="minorHAnsi" w:eastAsiaTheme="minorEastAsia" w:hAnsiTheme="minorHAnsi"/>
          <w:noProof/>
          <w:lang w:eastAsia="en-GB"/>
        </w:rPr>
      </w:pPr>
      <w:hyperlink w:anchor="_Toc115084525" w:history="1">
        <w:r w:rsidR="006D3E72" w:rsidRPr="00A0350C">
          <w:rPr>
            <w:rStyle w:val="Hyperlink"/>
            <w:noProof/>
          </w:rPr>
          <w:t>Direct entry</w:t>
        </w:r>
        <w:r w:rsidR="006D3E72">
          <w:rPr>
            <w:noProof/>
            <w:webHidden/>
          </w:rPr>
          <w:tab/>
        </w:r>
        <w:r w:rsidR="006D3E72">
          <w:rPr>
            <w:noProof/>
            <w:webHidden/>
          </w:rPr>
          <w:fldChar w:fldCharType="begin"/>
        </w:r>
        <w:r w:rsidR="006D3E72">
          <w:rPr>
            <w:noProof/>
            <w:webHidden/>
          </w:rPr>
          <w:instrText xml:space="preserve"> PAGEREF _Toc115084525 \h </w:instrText>
        </w:r>
        <w:r w:rsidR="006D3E72">
          <w:rPr>
            <w:noProof/>
            <w:webHidden/>
          </w:rPr>
        </w:r>
        <w:r w:rsidR="006D3E72">
          <w:rPr>
            <w:noProof/>
            <w:webHidden/>
          </w:rPr>
          <w:fldChar w:fldCharType="separate"/>
        </w:r>
        <w:r w:rsidR="006D3E72">
          <w:rPr>
            <w:noProof/>
            <w:webHidden/>
          </w:rPr>
          <w:t>5</w:t>
        </w:r>
        <w:r w:rsidR="006D3E72">
          <w:rPr>
            <w:noProof/>
            <w:webHidden/>
          </w:rPr>
          <w:fldChar w:fldCharType="end"/>
        </w:r>
      </w:hyperlink>
    </w:p>
    <w:p w14:paraId="11C0952E" w14:textId="08ACE7DA" w:rsidR="006D3E72" w:rsidRDefault="00CC1371">
      <w:pPr>
        <w:pStyle w:val="TOC1"/>
        <w:tabs>
          <w:tab w:val="right" w:leader="dot" w:pos="9016"/>
        </w:tabs>
        <w:rPr>
          <w:rFonts w:asciiTheme="minorHAnsi" w:eastAsiaTheme="minorEastAsia" w:hAnsiTheme="minorHAnsi"/>
          <w:noProof/>
          <w:lang w:eastAsia="en-GB"/>
        </w:rPr>
      </w:pPr>
      <w:hyperlink w:anchor="_Toc115084526" w:history="1">
        <w:r w:rsidR="006D3E72" w:rsidRPr="00A0350C">
          <w:rPr>
            <w:rStyle w:val="Hyperlink"/>
            <w:noProof/>
          </w:rPr>
          <w:t>Plagiarism</w:t>
        </w:r>
        <w:r w:rsidR="006D3E72">
          <w:rPr>
            <w:noProof/>
            <w:webHidden/>
          </w:rPr>
          <w:tab/>
        </w:r>
        <w:r w:rsidR="006D3E72">
          <w:rPr>
            <w:noProof/>
            <w:webHidden/>
          </w:rPr>
          <w:fldChar w:fldCharType="begin"/>
        </w:r>
        <w:r w:rsidR="006D3E72">
          <w:rPr>
            <w:noProof/>
            <w:webHidden/>
          </w:rPr>
          <w:instrText xml:space="preserve"> PAGEREF _Toc115084526 \h </w:instrText>
        </w:r>
        <w:r w:rsidR="006D3E72">
          <w:rPr>
            <w:noProof/>
            <w:webHidden/>
          </w:rPr>
        </w:r>
        <w:r w:rsidR="006D3E72">
          <w:rPr>
            <w:noProof/>
            <w:webHidden/>
          </w:rPr>
          <w:fldChar w:fldCharType="separate"/>
        </w:r>
        <w:r w:rsidR="006D3E72">
          <w:rPr>
            <w:noProof/>
            <w:webHidden/>
          </w:rPr>
          <w:t>5</w:t>
        </w:r>
        <w:r w:rsidR="006D3E72">
          <w:rPr>
            <w:noProof/>
            <w:webHidden/>
          </w:rPr>
          <w:fldChar w:fldCharType="end"/>
        </w:r>
      </w:hyperlink>
    </w:p>
    <w:p w14:paraId="2427B13F" w14:textId="56E54B95" w:rsidR="006D3E72" w:rsidRDefault="00CC1371">
      <w:pPr>
        <w:pStyle w:val="TOC1"/>
        <w:tabs>
          <w:tab w:val="right" w:leader="dot" w:pos="9016"/>
        </w:tabs>
        <w:rPr>
          <w:rFonts w:asciiTheme="minorHAnsi" w:eastAsiaTheme="minorEastAsia" w:hAnsiTheme="minorHAnsi"/>
          <w:noProof/>
          <w:lang w:eastAsia="en-GB"/>
        </w:rPr>
      </w:pPr>
      <w:hyperlink w:anchor="_Toc115084527" w:history="1">
        <w:r w:rsidR="006D3E72" w:rsidRPr="00A0350C">
          <w:rPr>
            <w:rStyle w:val="Hyperlink"/>
            <w:noProof/>
          </w:rPr>
          <w:t>Feedback</w:t>
        </w:r>
        <w:r w:rsidR="006D3E72">
          <w:rPr>
            <w:noProof/>
            <w:webHidden/>
          </w:rPr>
          <w:tab/>
        </w:r>
        <w:r w:rsidR="006D3E72">
          <w:rPr>
            <w:noProof/>
            <w:webHidden/>
          </w:rPr>
          <w:fldChar w:fldCharType="begin"/>
        </w:r>
        <w:r w:rsidR="006D3E72">
          <w:rPr>
            <w:noProof/>
            <w:webHidden/>
          </w:rPr>
          <w:instrText xml:space="preserve"> PAGEREF _Toc115084527 \h </w:instrText>
        </w:r>
        <w:r w:rsidR="006D3E72">
          <w:rPr>
            <w:noProof/>
            <w:webHidden/>
          </w:rPr>
        </w:r>
        <w:r w:rsidR="006D3E72">
          <w:rPr>
            <w:noProof/>
            <w:webHidden/>
          </w:rPr>
          <w:fldChar w:fldCharType="separate"/>
        </w:r>
        <w:r w:rsidR="006D3E72">
          <w:rPr>
            <w:noProof/>
            <w:webHidden/>
          </w:rPr>
          <w:t>5</w:t>
        </w:r>
        <w:r w:rsidR="006D3E72">
          <w:rPr>
            <w:noProof/>
            <w:webHidden/>
          </w:rPr>
          <w:fldChar w:fldCharType="end"/>
        </w:r>
      </w:hyperlink>
    </w:p>
    <w:p w14:paraId="21C785D2" w14:textId="665FE1C7" w:rsidR="006D3E72" w:rsidRDefault="00CC1371">
      <w:pPr>
        <w:pStyle w:val="TOC1"/>
        <w:tabs>
          <w:tab w:val="right" w:leader="dot" w:pos="9016"/>
        </w:tabs>
        <w:rPr>
          <w:rFonts w:asciiTheme="minorHAnsi" w:eastAsiaTheme="minorEastAsia" w:hAnsiTheme="minorHAnsi"/>
          <w:noProof/>
          <w:lang w:eastAsia="en-GB"/>
        </w:rPr>
      </w:pPr>
      <w:hyperlink w:anchor="_Toc115084528" w:history="1">
        <w:r w:rsidR="006D3E72" w:rsidRPr="00A0350C">
          <w:rPr>
            <w:rStyle w:val="Hyperlink"/>
            <w:noProof/>
          </w:rPr>
          <w:t>Applicant conduct</w:t>
        </w:r>
        <w:r w:rsidR="006D3E72">
          <w:rPr>
            <w:noProof/>
            <w:webHidden/>
          </w:rPr>
          <w:tab/>
        </w:r>
        <w:r w:rsidR="006D3E72">
          <w:rPr>
            <w:noProof/>
            <w:webHidden/>
          </w:rPr>
          <w:fldChar w:fldCharType="begin"/>
        </w:r>
        <w:r w:rsidR="006D3E72">
          <w:rPr>
            <w:noProof/>
            <w:webHidden/>
          </w:rPr>
          <w:instrText xml:space="preserve"> PAGEREF _Toc115084528 \h </w:instrText>
        </w:r>
        <w:r w:rsidR="006D3E72">
          <w:rPr>
            <w:noProof/>
            <w:webHidden/>
          </w:rPr>
        </w:r>
        <w:r w:rsidR="006D3E72">
          <w:rPr>
            <w:noProof/>
            <w:webHidden/>
          </w:rPr>
          <w:fldChar w:fldCharType="separate"/>
        </w:r>
        <w:r w:rsidR="006D3E72">
          <w:rPr>
            <w:noProof/>
            <w:webHidden/>
          </w:rPr>
          <w:t>5</w:t>
        </w:r>
        <w:r w:rsidR="006D3E72">
          <w:rPr>
            <w:noProof/>
            <w:webHidden/>
          </w:rPr>
          <w:fldChar w:fldCharType="end"/>
        </w:r>
      </w:hyperlink>
    </w:p>
    <w:p w14:paraId="7E658B26" w14:textId="3C1C5D08" w:rsidR="006D3E72" w:rsidRDefault="00CC1371">
      <w:pPr>
        <w:pStyle w:val="TOC1"/>
        <w:tabs>
          <w:tab w:val="right" w:leader="dot" w:pos="9016"/>
        </w:tabs>
        <w:rPr>
          <w:rFonts w:asciiTheme="minorHAnsi" w:eastAsiaTheme="minorEastAsia" w:hAnsiTheme="minorHAnsi"/>
          <w:noProof/>
          <w:lang w:eastAsia="en-GB"/>
        </w:rPr>
      </w:pPr>
      <w:hyperlink w:anchor="_Toc115084529" w:history="1">
        <w:r w:rsidR="006D3E72" w:rsidRPr="00A0350C">
          <w:rPr>
            <w:rStyle w:val="Hyperlink"/>
            <w:noProof/>
          </w:rPr>
          <w:t>Age on entry</w:t>
        </w:r>
        <w:r w:rsidR="006D3E72">
          <w:rPr>
            <w:noProof/>
            <w:webHidden/>
          </w:rPr>
          <w:tab/>
        </w:r>
        <w:r w:rsidR="006D3E72">
          <w:rPr>
            <w:noProof/>
            <w:webHidden/>
          </w:rPr>
          <w:fldChar w:fldCharType="begin"/>
        </w:r>
        <w:r w:rsidR="006D3E72">
          <w:rPr>
            <w:noProof/>
            <w:webHidden/>
          </w:rPr>
          <w:instrText xml:space="preserve"> PAGEREF _Toc115084529 \h </w:instrText>
        </w:r>
        <w:r w:rsidR="006D3E72">
          <w:rPr>
            <w:noProof/>
            <w:webHidden/>
          </w:rPr>
        </w:r>
        <w:r w:rsidR="006D3E72">
          <w:rPr>
            <w:noProof/>
            <w:webHidden/>
          </w:rPr>
          <w:fldChar w:fldCharType="separate"/>
        </w:r>
        <w:r w:rsidR="006D3E72">
          <w:rPr>
            <w:noProof/>
            <w:webHidden/>
          </w:rPr>
          <w:t>6</w:t>
        </w:r>
        <w:r w:rsidR="006D3E72">
          <w:rPr>
            <w:noProof/>
            <w:webHidden/>
          </w:rPr>
          <w:fldChar w:fldCharType="end"/>
        </w:r>
      </w:hyperlink>
    </w:p>
    <w:p w14:paraId="1898240C" w14:textId="25D3FE61" w:rsidR="006D3E72" w:rsidRDefault="00CC1371">
      <w:pPr>
        <w:pStyle w:val="TOC1"/>
        <w:tabs>
          <w:tab w:val="right" w:leader="dot" w:pos="9016"/>
        </w:tabs>
        <w:rPr>
          <w:rFonts w:asciiTheme="minorHAnsi" w:eastAsiaTheme="minorEastAsia" w:hAnsiTheme="minorHAnsi"/>
          <w:noProof/>
          <w:lang w:eastAsia="en-GB"/>
        </w:rPr>
      </w:pPr>
      <w:hyperlink w:anchor="_Toc115084530" w:history="1">
        <w:r w:rsidR="006D3E72" w:rsidRPr="00A0350C">
          <w:rPr>
            <w:rStyle w:val="Hyperlink"/>
            <w:noProof/>
          </w:rPr>
          <w:t>Fair access</w:t>
        </w:r>
        <w:r w:rsidR="006D3E72">
          <w:rPr>
            <w:noProof/>
            <w:webHidden/>
          </w:rPr>
          <w:tab/>
        </w:r>
        <w:r w:rsidR="006D3E72">
          <w:rPr>
            <w:noProof/>
            <w:webHidden/>
          </w:rPr>
          <w:fldChar w:fldCharType="begin"/>
        </w:r>
        <w:r w:rsidR="006D3E72">
          <w:rPr>
            <w:noProof/>
            <w:webHidden/>
          </w:rPr>
          <w:instrText xml:space="preserve"> PAGEREF _Toc115084530 \h </w:instrText>
        </w:r>
        <w:r w:rsidR="006D3E72">
          <w:rPr>
            <w:noProof/>
            <w:webHidden/>
          </w:rPr>
        </w:r>
        <w:r w:rsidR="006D3E72">
          <w:rPr>
            <w:noProof/>
            <w:webHidden/>
          </w:rPr>
          <w:fldChar w:fldCharType="separate"/>
        </w:r>
        <w:r w:rsidR="006D3E72">
          <w:rPr>
            <w:noProof/>
            <w:webHidden/>
          </w:rPr>
          <w:t>6</w:t>
        </w:r>
        <w:r w:rsidR="006D3E72">
          <w:rPr>
            <w:noProof/>
            <w:webHidden/>
          </w:rPr>
          <w:fldChar w:fldCharType="end"/>
        </w:r>
      </w:hyperlink>
    </w:p>
    <w:p w14:paraId="1FABA1ED" w14:textId="5F10F8DB" w:rsidR="006D3E72" w:rsidRDefault="00CC1371">
      <w:pPr>
        <w:pStyle w:val="TOC2"/>
        <w:rPr>
          <w:rFonts w:asciiTheme="minorHAnsi" w:hAnsiTheme="minorHAnsi" w:cstheme="minorBidi"/>
        </w:rPr>
      </w:pPr>
      <w:hyperlink w:anchor="_Toc115084531" w:history="1">
        <w:r w:rsidR="006D3E72" w:rsidRPr="00A0350C">
          <w:rPr>
            <w:rStyle w:val="Hyperlink"/>
          </w:rPr>
          <w:t>Mature</w:t>
        </w:r>
        <w:r w:rsidR="006D3E72">
          <w:rPr>
            <w:webHidden/>
          </w:rPr>
          <w:tab/>
        </w:r>
        <w:r w:rsidR="006D3E72">
          <w:rPr>
            <w:webHidden/>
          </w:rPr>
          <w:fldChar w:fldCharType="begin"/>
        </w:r>
        <w:r w:rsidR="006D3E72">
          <w:rPr>
            <w:webHidden/>
          </w:rPr>
          <w:instrText xml:space="preserve"> PAGEREF _Toc115084531 \h </w:instrText>
        </w:r>
        <w:r w:rsidR="006D3E72">
          <w:rPr>
            <w:webHidden/>
          </w:rPr>
        </w:r>
        <w:r w:rsidR="006D3E72">
          <w:rPr>
            <w:webHidden/>
          </w:rPr>
          <w:fldChar w:fldCharType="separate"/>
        </w:r>
        <w:r w:rsidR="006D3E72">
          <w:rPr>
            <w:webHidden/>
          </w:rPr>
          <w:t>6</w:t>
        </w:r>
        <w:r w:rsidR="006D3E72">
          <w:rPr>
            <w:webHidden/>
          </w:rPr>
          <w:fldChar w:fldCharType="end"/>
        </w:r>
      </w:hyperlink>
    </w:p>
    <w:p w14:paraId="166FB21B" w14:textId="6718DB0E" w:rsidR="006D3E72" w:rsidRDefault="00CC1371">
      <w:pPr>
        <w:pStyle w:val="TOC2"/>
        <w:rPr>
          <w:rFonts w:asciiTheme="minorHAnsi" w:hAnsiTheme="minorHAnsi" w:cstheme="minorBidi"/>
        </w:rPr>
      </w:pPr>
      <w:hyperlink w:anchor="_Toc115084532" w:history="1">
        <w:r w:rsidR="006D3E72" w:rsidRPr="00A0350C">
          <w:rPr>
            <w:rStyle w:val="Hyperlink"/>
          </w:rPr>
          <w:t>Widening Participation and Outreach</w:t>
        </w:r>
        <w:r w:rsidR="006D3E72">
          <w:rPr>
            <w:webHidden/>
          </w:rPr>
          <w:tab/>
        </w:r>
        <w:r w:rsidR="006D3E72">
          <w:rPr>
            <w:webHidden/>
          </w:rPr>
          <w:fldChar w:fldCharType="begin"/>
        </w:r>
        <w:r w:rsidR="006D3E72">
          <w:rPr>
            <w:webHidden/>
          </w:rPr>
          <w:instrText xml:space="preserve"> PAGEREF _Toc115084532 \h </w:instrText>
        </w:r>
        <w:r w:rsidR="006D3E72">
          <w:rPr>
            <w:webHidden/>
          </w:rPr>
        </w:r>
        <w:r w:rsidR="006D3E72">
          <w:rPr>
            <w:webHidden/>
          </w:rPr>
          <w:fldChar w:fldCharType="separate"/>
        </w:r>
        <w:r w:rsidR="006D3E72">
          <w:rPr>
            <w:webHidden/>
          </w:rPr>
          <w:t>6</w:t>
        </w:r>
        <w:r w:rsidR="006D3E72">
          <w:rPr>
            <w:webHidden/>
          </w:rPr>
          <w:fldChar w:fldCharType="end"/>
        </w:r>
      </w:hyperlink>
    </w:p>
    <w:p w14:paraId="56106157" w14:textId="7C25BD6B" w:rsidR="006D3E72" w:rsidRDefault="00CC1371">
      <w:pPr>
        <w:pStyle w:val="TOC2"/>
        <w:rPr>
          <w:rFonts w:asciiTheme="minorHAnsi" w:hAnsiTheme="minorHAnsi" w:cstheme="minorBidi"/>
        </w:rPr>
      </w:pPr>
      <w:hyperlink w:anchor="_Toc115084533" w:history="1">
        <w:r w:rsidR="006D3E72" w:rsidRPr="00A0350C">
          <w:rPr>
            <w:rStyle w:val="Hyperlink"/>
          </w:rPr>
          <w:t>Contextual Admissions</w:t>
        </w:r>
        <w:r w:rsidR="006D3E72">
          <w:rPr>
            <w:webHidden/>
          </w:rPr>
          <w:tab/>
        </w:r>
        <w:r w:rsidR="006D3E72">
          <w:rPr>
            <w:webHidden/>
          </w:rPr>
          <w:fldChar w:fldCharType="begin"/>
        </w:r>
        <w:r w:rsidR="006D3E72">
          <w:rPr>
            <w:webHidden/>
          </w:rPr>
          <w:instrText xml:space="preserve"> PAGEREF _Toc115084533 \h </w:instrText>
        </w:r>
        <w:r w:rsidR="006D3E72">
          <w:rPr>
            <w:webHidden/>
          </w:rPr>
        </w:r>
        <w:r w:rsidR="006D3E72">
          <w:rPr>
            <w:webHidden/>
          </w:rPr>
          <w:fldChar w:fldCharType="separate"/>
        </w:r>
        <w:r w:rsidR="006D3E72">
          <w:rPr>
            <w:webHidden/>
          </w:rPr>
          <w:t>6</w:t>
        </w:r>
        <w:r w:rsidR="006D3E72">
          <w:rPr>
            <w:webHidden/>
          </w:rPr>
          <w:fldChar w:fldCharType="end"/>
        </w:r>
      </w:hyperlink>
    </w:p>
    <w:p w14:paraId="4D7334E6" w14:textId="44AC1618" w:rsidR="006D3E72" w:rsidRDefault="00CC1371">
      <w:pPr>
        <w:pStyle w:val="TOC2"/>
        <w:rPr>
          <w:rFonts w:asciiTheme="minorHAnsi" w:hAnsiTheme="minorHAnsi" w:cstheme="minorBidi"/>
        </w:rPr>
      </w:pPr>
      <w:hyperlink w:anchor="_Toc115084534" w:history="1">
        <w:r w:rsidR="006D3E72" w:rsidRPr="00A0350C">
          <w:rPr>
            <w:rStyle w:val="Hyperlink"/>
          </w:rPr>
          <w:t>In2Surrey scheme</w:t>
        </w:r>
        <w:r w:rsidR="006D3E72">
          <w:rPr>
            <w:webHidden/>
          </w:rPr>
          <w:tab/>
        </w:r>
        <w:r w:rsidR="006D3E72">
          <w:rPr>
            <w:webHidden/>
          </w:rPr>
          <w:fldChar w:fldCharType="begin"/>
        </w:r>
        <w:r w:rsidR="006D3E72">
          <w:rPr>
            <w:webHidden/>
          </w:rPr>
          <w:instrText xml:space="preserve"> PAGEREF _Toc115084534 \h </w:instrText>
        </w:r>
        <w:r w:rsidR="006D3E72">
          <w:rPr>
            <w:webHidden/>
          </w:rPr>
        </w:r>
        <w:r w:rsidR="006D3E72">
          <w:rPr>
            <w:webHidden/>
          </w:rPr>
          <w:fldChar w:fldCharType="separate"/>
        </w:r>
        <w:r w:rsidR="006D3E72">
          <w:rPr>
            <w:webHidden/>
          </w:rPr>
          <w:t>7</w:t>
        </w:r>
        <w:r w:rsidR="006D3E72">
          <w:rPr>
            <w:webHidden/>
          </w:rPr>
          <w:fldChar w:fldCharType="end"/>
        </w:r>
      </w:hyperlink>
    </w:p>
    <w:p w14:paraId="57C143C7" w14:textId="6B96D0A2" w:rsidR="006D3E72" w:rsidRDefault="00CC1371">
      <w:pPr>
        <w:pStyle w:val="TOC2"/>
        <w:rPr>
          <w:rFonts w:asciiTheme="minorHAnsi" w:hAnsiTheme="minorHAnsi" w:cstheme="minorBidi"/>
        </w:rPr>
      </w:pPr>
      <w:hyperlink w:anchor="_Toc115084535" w:history="1">
        <w:r w:rsidR="006D3E72" w:rsidRPr="00A0350C">
          <w:rPr>
            <w:rStyle w:val="Hyperlink"/>
          </w:rPr>
          <w:t>Applicants with a disability</w:t>
        </w:r>
        <w:r w:rsidR="006D3E72">
          <w:rPr>
            <w:webHidden/>
          </w:rPr>
          <w:tab/>
        </w:r>
        <w:r w:rsidR="006D3E72">
          <w:rPr>
            <w:webHidden/>
          </w:rPr>
          <w:fldChar w:fldCharType="begin"/>
        </w:r>
        <w:r w:rsidR="006D3E72">
          <w:rPr>
            <w:webHidden/>
          </w:rPr>
          <w:instrText xml:space="preserve"> PAGEREF _Toc115084535 \h </w:instrText>
        </w:r>
        <w:r w:rsidR="006D3E72">
          <w:rPr>
            <w:webHidden/>
          </w:rPr>
        </w:r>
        <w:r w:rsidR="006D3E72">
          <w:rPr>
            <w:webHidden/>
          </w:rPr>
          <w:fldChar w:fldCharType="separate"/>
        </w:r>
        <w:r w:rsidR="006D3E72">
          <w:rPr>
            <w:webHidden/>
          </w:rPr>
          <w:t>7</w:t>
        </w:r>
        <w:r w:rsidR="006D3E72">
          <w:rPr>
            <w:webHidden/>
          </w:rPr>
          <w:fldChar w:fldCharType="end"/>
        </w:r>
      </w:hyperlink>
    </w:p>
    <w:p w14:paraId="2C521C89" w14:textId="797AD93E" w:rsidR="006D3E72" w:rsidRDefault="00CC1371">
      <w:pPr>
        <w:pStyle w:val="TOC1"/>
        <w:tabs>
          <w:tab w:val="right" w:leader="dot" w:pos="9016"/>
        </w:tabs>
        <w:rPr>
          <w:rFonts w:asciiTheme="minorHAnsi" w:eastAsiaTheme="minorEastAsia" w:hAnsiTheme="minorHAnsi"/>
          <w:noProof/>
          <w:lang w:eastAsia="en-GB"/>
        </w:rPr>
      </w:pPr>
      <w:hyperlink w:anchor="_Toc115084536" w:history="1">
        <w:r w:rsidR="006D3E72" w:rsidRPr="00A0350C">
          <w:rPr>
            <w:rStyle w:val="Hyperlink"/>
            <w:noProof/>
          </w:rPr>
          <w:t>Student visas</w:t>
        </w:r>
        <w:r w:rsidR="006D3E72">
          <w:rPr>
            <w:noProof/>
            <w:webHidden/>
          </w:rPr>
          <w:tab/>
        </w:r>
        <w:r w:rsidR="006D3E72">
          <w:rPr>
            <w:noProof/>
            <w:webHidden/>
          </w:rPr>
          <w:fldChar w:fldCharType="begin"/>
        </w:r>
        <w:r w:rsidR="006D3E72">
          <w:rPr>
            <w:noProof/>
            <w:webHidden/>
          </w:rPr>
          <w:instrText xml:space="preserve"> PAGEREF _Toc115084536 \h </w:instrText>
        </w:r>
        <w:r w:rsidR="006D3E72">
          <w:rPr>
            <w:noProof/>
            <w:webHidden/>
          </w:rPr>
        </w:r>
        <w:r w:rsidR="006D3E72">
          <w:rPr>
            <w:noProof/>
            <w:webHidden/>
          </w:rPr>
          <w:fldChar w:fldCharType="separate"/>
        </w:r>
        <w:r w:rsidR="006D3E72">
          <w:rPr>
            <w:noProof/>
            <w:webHidden/>
          </w:rPr>
          <w:t>7</w:t>
        </w:r>
        <w:r w:rsidR="006D3E72">
          <w:rPr>
            <w:noProof/>
            <w:webHidden/>
          </w:rPr>
          <w:fldChar w:fldCharType="end"/>
        </w:r>
      </w:hyperlink>
    </w:p>
    <w:p w14:paraId="651D752E" w14:textId="52FB2A9A" w:rsidR="006D3E72" w:rsidRDefault="00CC1371">
      <w:pPr>
        <w:pStyle w:val="TOC1"/>
        <w:tabs>
          <w:tab w:val="right" w:leader="dot" w:pos="9016"/>
        </w:tabs>
        <w:rPr>
          <w:rFonts w:asciiTheme="minorHAnsi" w:eastAsiaTheme="minorEastAsia" w:hAnsiTheme="minorHAnsi"/>
          <w:noProof/>
          <w:lang w:eastAsia="en-GB"/>
        </w:rPr>
      </w:pPr>
      <w:hyperlink w:anchor="_Toc115084537" w:history="1">
        <w:r w:rsidR="006D3E72" w:rsidRPr="00A0350C">
          <w:rPr>
            <w:rStyle w:val="Hyperlink"/>
            <w:noProof/>
          </w:rPr>
          <w:t>Academic Technology Approval Scheme (ATAS)</w:t>
        </w:r>
        <w:r w:rsidR="006D3E72">
          <w:rPr>
            <w:noProof/>
            <w:webHidden/>
          </w:rPr>
          <w:tab/>
        </w:r>
        <w:r w:rsidR="006D3E72">
          <w:rPr>
            <w:noProof/>
            <w:webHidden/>
          </w:rPr>
          <w:fldChar w:fldCharType="begin"/>
        </w:r>
        <w:r w:rsidR="006D3E72">
          <w:rPr>
            <w:noProof/>
            <w:webHidden/>
          </w:rPr>
          <w:instrText xml:space="preserve"> PAGEREF _Toc115084537 \h </w:instrText>
        </w:r>
        <w:r w:rsidR="006D3E72">
          <w:rPr>
            <w:noProof/>
            <w:webHidden/>
          </w:rPr>
        </w:r>
        <w:r w:rsidR="006D3E72">
          <w:rPr>
            <w:noProof/>
            <w:webHidden/>
          </w:rPr>
          <w:fldChar w:fldCharType="separate"/>
        </w:r>
        <w:r w:rsidR="006D3E72">
          <w:rPr>
            <w:noProof/>
            <w:webHidden/>
          </w:rPr>
          <w:t>7</w:t>
        </w:r>
        <w:r w:rsidR="006D3E72">
          <w:rPr>
            <w:noProof/>
            <w:webHidden/>
          </w:rPr>
          <w:fldChar w:fldCharType="end"/>
        </w:r>
      </w:hyperlink>
    </w:p>
    <w:p w14:paraId="36255581" w14:textId="1148093B" w:rsidR="006D3E72" w:rsidRDefault="00CC1371">
      <w:pPr>
        <w:pStyle w:val="TOC1"/>
        <w:tabs>
          <w:tab w:val="right" w:leader="dot" w:pos="9016"/>
        </w:tabs>
        <w:rPr>
          <w:rFonts w:asciiTheme="minorHAnsi" w:eastAsiaTheme="minorEastAsia" w:hAnsiTheme="minorHAnsi"/>
          <w:noProof/>
          <w:lang w:eastAsia="en-GB"/>
        </w:rPr>
      </w:pPr>
      <w:hyperlink w:anchor="_Toc115084538" w:history="1">
        <w:r w:rsidR="006D3E72" w:rsidRPr="00A0350C">
          <w:rPr>
            <w:rStyle w:val="Hyperlink"/>
            <w:noProof/>
          </w:rPr>
          <w:t>Criminal convictions</w:t>
        </w:r>
        <w:r w:rsidR="006D3E72">
          <w:rPr>
            <w:noProof/>
            <w:webHidden/>
          </w:rPr>
          <w:tab/>
        </w:r>
        <w:r w:rsidR="006D3E72">
          <w:rPr>
            <w:noProof/>
            <w:webHidden/>
          </w:rPr>
          <w:fldChar w:fldCharType="begin"/>
        </w:r>
        <w:r w:rsidR="006D3E72">
          <w:rPr>
            <w:noProof/>
            <w:webHidden/>
          </w:rPr>
          <w:instrText xml:space="preserve"> PAGEREF _Toc115084538 \h </w:instrText>
        </w:r>
        <w:r w:rsidR="006D3E72">
          <w:rPr>
            <w:noProof/>
            <w:webHidden/>
          </w:rPr>
        </w:r>
        <w:r w:rsidR="006D3E72">
          <w:rPr>
            <w:noProof/>
            <w:webHidden/>
          </w:rPr>
          <w:fldChar w:fldCharType="separate"/>
        </w:r>
        <w:r w:rsidR="006D3E72">
          <w:rPr>
            <w:noProof/>
            <w:webHidden/>
          </w:rPr>
          <w:t>7</w:t>
        </w:r>
        <w:r w:rsidR="006D3E72">
          <w:rPr>
            <w:noProof/>
            <w:webHidden/>
          </w:rPr>
          <w:fldChar w:fldCharType="end"/>
        </w:r>
      </w:hyperlink>
    </w:p>
    <w:p w14:paraId="514E1000" w14:textId="2DBD5902" w:rsidR="006D3E72" w:rsidRDefault="00CC1371">
      <w:pPr>
        <w:pStyle w:val="TOC1"/>
        <w:tabs>
          <w:tab w:val="right" w:leader="dot" w:pos="9016"/>
        </w:tabs>
        <w:rPr>
          <w:rFonts w:asciiTheme="minorHAnsi" w:eastAsiaTheme="minorEastAsia" w:hAnsiTheme="minorHAnsi"/>
          <w:noProof/>
          <w:lang w:eastAsia="en-GB"/>
        </w:rPr>
      </w:pPr>
      <w:hyperlink w:anchor="_Toc115084539" w:history="1">
        <w:r w:rsidR="006D3E72" w:rsidRPr="00A0350C">
          <w:rPr>
            <w:rStyle w:val="Hyperlink"/>
            <w:noProof/>
          </w:rPr>
          <w:t>Fraudulent and misleading applications</w:t>
        </w:r>
        <w:r w:rsidR="006D3E72">
          <w:rPr>
            <w:noProof/>
            <w:webHidden/>
          </w:rPr>
          <w:tab/>
        </w:r>
        <w:r w:rsidR="006D3E72">
          <w:rPr>
            <w:noProof/>
            <w:webHidden/>
          </w:rPr>
          <w:fldChar w:fldCharType="begin"/>
        </w:r>
        <w:r w:rsidR="006D3E72">
          <w:rPr>
            <w:noProof/>
            <w:webHidden/>
          </w:rPr>
          <w:instrText xml:space="preserve"> PAGEREF _Toc115084539 \h </w:instrText>
        </w:r>
        <w:r w:rsidR="006D3E72">
          <w:rPr>
            <w:noProof/>
            <w:webHidden/>
          </w:rPr>
        </w:r>
        <w:r w:rsidR="006D3E72">
          <w:rPr>
            <w:noProof/>
            <w:webHidden/>
          </w:rPr>
          <w:fldChar w:fldCharType="separate"/>
        </w:r>
        <w:r w:rsidR="006D3E72">
          <w:rPr>
            <w:noProof/>
            <w:webHidden/>
          </w:rPr>
          <w:t>8</w:t>
        </w:r>
        <w:r w:rsidR="006D3E72">
          <w:rPr>
            <w:noProof/>
            <w:webHidden/>
          </w:rPr>
          <w:fldChar w:fldCharType="end"/>
        </w:r>
      </w:hyperlink>
    </w:p>
    <w:p w14:paraId="3AC8BD8C" w14:textId="21ED1CAE" w:rsidR="006D3E72" w:rsidRDefault="00CC1371">
      <w:pPr>
        <w:pStyle w:val="TOC1"/>
        <w:tabs>
          <w:tab w:val="right" w:leader="dot" w:pos="9016"/>
        </w:tabs>
        <w:rPr>
          <w:rFonts w:asciiTheme="minorHAnsi" w:eastAsiaTheme="minorEastAsia" w:hAnsiTheme="minorHAnsi"/>
          <w:noProof/>
          <w:lang w:eastAsia="en-GB"/>
        </w:rPr>
      </w:pPr>
      <w:hyperlink w:anchor="_Toc115084540" w:history="1">
        <w:r w:rsidR="006D3E72" w:rsidRPr="00A0350C">
          <w:rPr>
            <w:rStyle w:val="Hyperlink"/>
            <w:noProof/>
          </w:rPr>
          <w:t>Data protection</w:t>
        </w:r>
        <w:r w:rsidR="006D3E72">
          <w:rPr>
            <w:noProof/>
            <w:webHidden/>
          </w:rPr>
          <w:tab/>
        </w:r>
        <w:r w:rsidR="006D3E72">
          <w:rPr>
            <w:noProof/>
            <w:webHidden/>
          </w:rPr>
          <w:fldChar w:fldCharType="begin"/>
        </w:r>
        <w:r w:rsidR="006D3E72">
          <w:rPr>
            <w:noProof/>
            <w:webHidden/>
          </w:rPr>
          <w:instrText xml:space="preserve"> PAGEREF _Toc115084540 \h </w:instrText>
        </w:r>
        <w:r w:rsidR="006D3E72">
          <w:rPr>
            <w:noProof/>
            <w:webHidden/>
          </w:rPr>
        </w:r>
        <w:r w:rsidR="006D3E72">
          <w:rPr>
            <w:noProof/>
            <w:webHidden/>
          </w:rPr>
          <w:fldChar w:fldCharType="separate"/>
        </w:r>
        <w:r w:rsidR="006D3E72">
          <w:rPr>
            <w:noProof/>
            <w:webHidden/>
          </w:rPr>
          <w:t>8</w:t>
        </w:r>
        <w:r w:rsidR="006D3E72">
          <w:rPr>
            <w:noProof/>
            <w:webHidden/>
          </w:rPr>
          <w:fldChar w:fldCharType="end"/>
        </w:r>
      </w:hyperlink>
    </w:p>
    <w:p w14:paraId="421C6CC4" w14:textId="7D40C011" w:rsidR="006D3E72" w:rsidRDefault="00CC1371">
      <w:pPr>
        <w:pStyle w:val="TOC1"/>
        <w:tabs>
          <w:tab w:val="right" w:leader="dot" w:pos="9016"/>
        </w:tabs>
        <w:rPr>
          <w:rFonts w:asciiTheme="minorHAnsi" w:eastAsiaTheme="minorEastAsia" w:hAnsiTheme="minorHAnsi"/>
          <w:noProof/>
          <w:lang w:eastAsia="en-GB"/>
        </w:rPr>
      </w:pPr>
      <w:hyperlink w:anchor="_Toc115084541" w:history="1">
        <w:r w:rsidR="006D3E72" w:rsidRPr="00A0350C">
          <w:rPr>
            <w:rStyle w:val="Hyperlink"/>
            <w:noProof/>
          </w:rPr>
          <w:t>Complaints</w:t>
        </w:r>
        <w:r w:rsidR="006D3E72">
          <w:rPr>
            <w:noProof/>
            <w:webHidden/>
          </w:rPr>
          <w:tab/>
        </w:r>
        <w:r w:rsidR="006D3E72">
          <w:rPr>
            <w:noProof/>
            <w:webHidden/>
          </w:rPr>
          <w:fldChar w:fldCharType="begin"/>
        </w:r>
        <w:r w:rsidR="006D3E72">
          <w:rPr>
            <w:noProof/>
            <w:webHidden/>
          </w:rPr>
          <w:instrText xml:space="preserve"> PAGEREF _Toc115084541 \h </w:instrText>
        </w:r>
        <w:r w:rsidR="006D3E72">
          <w:rPr>
            <w:noProof/>
            <w:webHidden/>
          </w:rPr>
        </w:r>
        <w:r w:rsidR="006D3E72">
          <w:rPr>
            <w:noProof/>
            <w:webHidden/>
          </w:rPr>
          <w:fldChar w:fldCharType="separate"/>
        </w:r>
        <w:r w:rsidR="006D3E72">
          <w:rPr>
            <w:noProof/>
            <w:webHidden/>
          </w:rPr>
          <w:t>8</w:t>
        </w:r>
        <w:r w:rsidR="006D3E72">
          <w:rPr>
            <w:noProof/>
            <w:webHidden/>
          </w:rPr>
          <w:fldChar w:fldCharType="end"/>
        </w:r>
      </w:hyperlink>
    </w:p>
    <w:p w14:paraId="57856AED" w14:textId="4F28E31F" w:rsidR="006D3E72" w:rsidRDefault="00CC1371">
      <w:pPr>
        <w:pStyle w:val="TOC1"/>
        <w:tabs>
          <w:tab w:val="right" w:leader="dot" w:pos="9016"/>
        </w:tabs>
        <w:rPr>
          <w:rFonts w:asciiTheme="minorHAnsi" w:eastAsiaTheme="minorEastAsia" w:hAnsiTheme="minorHAnsi"/>
          <w:noProof/>
          <w:lang w:eastAsia="en-GB"/>
        </w:rPr>
      </w:pPr>
      <w:hyperlink w:anchor="_Toc115084542" w:history="1">
        <w:r w:rsidR="006D3E72" w:rsidRPr="00A0350C">
          <w:rPr>
            <w:rStyle w:val="Hyperlink"/>
            <w:noProof/>
          </w:rPr>
          <w:t>Monitoring and review</w:t>
        </w:r>
        <w:r w:rsidR="006D3E72">
          <w:rPr>
            <w:noProof/>
            <w:webHidden/>
          </w:rPr>
          <w:tab/>
        </w:r>
        <w:r w:rsidR="006D3E72">
          <w:rPr>
            <w:noProof/>
            <w:webHidden/>
          </w:rPr>
          <w:fldChar w:fldCharType="begin"/>
        </w:r>
        <w:r w:rsidR="006D3E72">
          <w:rPr>
            <w:noProof/>
            <w:webHidden/>
          </w:rPr>
          <w:instrText xml:space="preserve"> PAGEREF _Toc115084542 \h </w:instrText>
        </w:r>
        <w:r w:rsidR="006D3E72">
          <w:rPr>
            <w:noProof/>
            <w:webHidden/>
          </w:rPr>
        </w:r>
        <w:r w:rsidR="006D3E72">
          <w:rPr>
            <w:noProof/>
            <w:webHidden/>
          </w:rPr>
          <w:fldChar w:fldCharType="separate"/>
        </w:r>
        <w:r w:rsidR="006D3E72">
          <w:rPr>
            <w:noProof/>
            <w:webHidden/>
          </w:rPr>
          <w:t>9</w:t>
        </w:r>
        <w:r w:rsidR="006D3E72">
          <w:rPr>
            <w:noProof/>
            <w:webHidden/>
          </w:rPr>
          <w:fldChar w:fldCharType="end"/>
        </w:r>
      </w:hyperlink>
    </w:p>
    <w:p w14:paraId="3463EA21" w14:textId="099B63CC" w:rsidR="006D3E72" w:rsidRDefault="00CC1371">
      <w:pPr>
        <w:pStyle w:val="TOC1"/>
        <w:tabs>
          <w:tab w:val="right" w:leader="dot" w:pos="9016"/>
        </w:tabs>
        <w:rPr>
          <w:rFonts w:asciiTheme="minorHAnsi" w:eastAsiaTheme="minorEastAsia" w:hAnsiTheme="minorHAnsi"/>
          <w:noProof/>
          <w:lang w:eastAsia="en-GB"/>
        </w:rPr>
      </w:pPr>
      <w:hyperlink w:anchor="_Toc115084543" w:history="1">
        <w:r w:rsidR="006D3E72" w:rsidRPr="00A0350C">
          <w:rPr>
            <w:rStyle w:val="Hyperlink"/>
            <w:rFonts w:cs="Arial"/>
            <w:noProof/>
          </w:rPr>
          <w:t xml:space="preserve">Appendix A – </w:t>
        </w:r>
        <w:r w:rsidR="006D3E72" w:rsidRPr="00A0350C">
          <w:rPr>
            <w:rStyle w:val="Hyperlink"/>
            <w:rFonts w:eastAsiaTheme="majorEastAsia"/>
            <w:noProof/>
          </w:rPr>
          <w:t>Students Under 18</w:t>
        </w:r>
        <w:r w:rsidR="006D3E72">
          <w:rPr>
            <w:noProof/>
            <w:webHidden/>
          </w:rPr>
          <w:tab/>
        </w:r>
        <w:r w:rsidR="006D3E72">
          <w:rPr>
            <w:noProof/>
            <w:webHidden/>
          </w:rPr>
          <w:fldChar w:fldCharType="begin"/>
        </w:r>
        <w:r w:rsidR="006D3E72">
          <w:rPr>
            <w:noProof/>
            <w:webHidden/>
          </w:rPr>
          <w:instrText xml:space="preserve"> PAGEREF _Toc115084543 \h </w:instrText>
        </w:r>
        <w:r w:rsidR="006D3E72">
          <w:rPr>
            <w:noProof/>
            <w:webHidden/>
          </w:rPr>
        </w:r>
        <w:r w:rsidR="006D3E72">
          <w:rPr>
            <w:noProof/>
            <w:webHidden/>
          </w:rPr>
          <w:fldChar w:fldCharType="separate"/>
        </w:r>
        <w:r w:rsidR="006D3E72">
          <w:rPr>
            <w:noProof/>
            <w:webHidden/>
          </w:rPr>
          <w:t>10</w:t>
        </w:r>
        <w:r w:rsidR="006D3E72">
          <w:rPr>
            <w:noProof/>
            <w:webHidden/>
          </w:rPr>
          <w:fldChar w:fldCharType="end"/>
        </w:r>
      </w:hyperlink>
    </w:p>
    <w:p w14:paraId="7819BA45" w14:textId="533E88FF" w:rsidR="006D3E72" w:rsidRDefault="00CC1371">
      <w:pPr>
        <w:pStyle w:val="TOC1"/>
        <w:tabs>
          <w:tab w:val="right" w:leader="dot" w:pos="9016"/>
        </w:tabs>
        <w:rPr>
          <w:rFonts w:asciiTheme="minorHAnsi" w:eastAsiaTheme="minorEastAsia" w:hAnsiTheme="minorHAnsi"/>
          <w:noProof/>
          <w:lang w:eastAsia="en-GB"/>
        </w:rPr>
      </w:pPr>
      <w:hyperlink w:anchor="_Toc115084544" w:history="1">
        <w:r w:rsidR="006D3E72" w:rsidRPr="00A0350C">
          <w:rPr>
            <w:rStyle w:val="Hyperlink"/>
            <w:noProof/>
          </w:rPr>
          <w:t>Appendix B - Admissions Complaints guidance</w:t>
        </w:r>
        <w:r w:rsidR="006D3E72">
          <w:rPr>
            <w:noProof/>
            <w:webHidden/>
          </w:rPr>
          <w:tab/>
        </w:r>
        <w:r w:rsidR="006D3E72">
          <w:rPr>
            <w:noProof/>
            <w:webHidden/>
          </w:rPr>
          <w:fldChar w:fldCharType="begin"/>
        </w:r>
        <w:r w:rsidR="006D3E72">
          <w:rPr>
            <w:noProof/>
            <w:webHidden/>
          </w:rPr>
          <w:instrText xml:space="preserve"> PAGEREF _Toc115084544 \h </w:instrText>
        </w:r>
        <w:r w:rsidR="006D3E72">
          <w:rPr>
            <w:noProof/>
            <w:webHidden/>
          </w:rPr>
        </w:r>
        <w:r w:rsidR="006D3E72">
          <w:rPr>
            <w:noProof/>
            <w:webHidden/>
          </w:rPr>
          <w:fldChar w:fldCharType="separate"/>
        </w:r>
        <w:r w:rsidR="006D3E72">
          <w:rPr>
            <w:noProof/>
            <w:webHidden/>
          </w:rPr>
          <w:t>13</w:t>
        </w:r>
        <w:r w:rsidR="006D3E72">
          <w:rPr>
            <w:noProof/>
            <w:webHidden/>
          </w:rPr>
          <w:fldChar w:fldCharType="end"/>
        </w:r>
      </w:hyperlink>
    </w:p>
    <w:p w14:paraId="0E0BD172" w14:textId="6D3A53DA" w:rsidR="006D3E72" w:rsidRDefault="00CC1371">
      <w:pPr>
        <w:pStyle w:val="TOC1"/>
        <w:tabs>
          <w:tab w:val="right" w:leader="dot" w:pos="9016"/>
        </w:tabs>
        <w:rPr>
          <w:rFonts w:asciiTheme="minorHAnsi" w:eastAsiaTheme="minorEastAsia" w:hAnsiTheme="minorHAnsi"/>
          <w:noProof/>
          <w:lang w:eastAsia="en-GB"/>
        </w:rPr>
      </w:pPr>
      <w:hyperlink w:anchor="_Toc115084545" w:history="1">
        <w:r w:rsidR="006D3E72" w:rsidRPr="00A0350C">
          <w:rPr>
            <w:rStyle w:val="Hyperlink"/>
            <w:noProof/>
          </w:rPr>
          <w:t>Appendix C</w:t>
        </w:r>
        <w:r w:rsidR="006D3E72" w:rsidRPr="00A0350C">
          <w:rPr>
            <w:rStyle w:val="Hyperlink"/>
            <w:rFonts w:cs="Arial"/>
            <w:noProof/>
          </w:rPr>
          <w:t xml:space="preserve"> – Related documents</w:t>
        </w:r>
        <w:r w:rsidR="006D3E72">
          <w:rPr>
            <w:noProof/>
            <w:webHidden/>
          </w:rPr>
          <w:tab/>
        </w:r>
        <w:r w:rsidR="006D3E72">
          <w:rPr>
            <w:noProof/>
            <w:webHidden/>
          </w:rPr>
          <w:fldChar w:fldCharType="begin"/>
        </w:r>
        <w:r w:rsidR="006D3E72">
          <w:rPr>
            <w:noProof/>
            <w:webHidden/>
          </w:rPr>
          <w:instrText xml:space="preserve"> PAGEREF _Toc115084545 \h </w:instrText>
        </w:r>
        <w:r w:rsidR="006D3E72">
          <w:rPr>
            <w:noProof/>
            <w:webHidden/>
          </w:rPr>
        </w:r>
        <w:r w:rsidR="006D3E72">
          <w:rPr>
            <w:noProof/>
            <w:webHidden/>
          </w:rPr>
          <w:fldChar w:fldCharType="separate"/>
        </w:r>
        <w:r w:rsidR="006D3E72">
          <w:rPr>
            <w:noProof/>
            <w:webHidden/>
          </w:rPr>
          <w:t>15</w:t>
        </w:r>
        <w:r w:rsidR="006D3E72">
          <w:rPr>
            <w:noProof/>
            <w:webHidden/>
          </w:rPr>
          <w:fldChar w:fldCharType="end"/>
        </w:r>
      </w:hyperlink>
    </w:p>
    <w:p w14:paraId="059E70CF" w14:textId="4C897FB6" w:rsidR="00C5201B" w:rsidRPr="008158D0" w:rsidRDefault="00643960" w:rsidP="004D66E1">
      <w:pPr>
        <w:spacing w:before="120" w:after="120" w:line="240" w:lineRule="auto"/>
        <w:rPr>
          <w:rFonts w:ascii="Arial" w:hAnsi="Arial" w:cs="Arial"/>
          <w:lang w:val="fr-FR"/>
        </w:rPr>
        <w:sectPr w:rsidR="00C5201B" w:rsidRPr="008158D0" w:rsidSect="00C5201B">
          <w:headerReference w:type="default" r:id="rId14"/>
          <w:footerReference w:type="default" r:id="rId15"/>
          <w:pgSz w:w="11906" w:h="16838"/>
          <w:pgMar w:top="1440" w:right="1440" w:bottom="1440" w:left="1440" w:header="720" w:footer="720" w:gutter="0"/>
          <w:pgNumType w:start="2"/>
          <w:cols w:space="708"/>
          <w:docGrid w:linePitch="360"/>
        </w:sectPr>
      </w:pPr>
      <w:r>
        <w:rPr>
          <w:rFonts w:ascii="Arial" w:hAnsi="Arial" w:cs="Arial"/>
        </w:rPr>
        <w:fldChar w:fldCharType="end"/>
      </w:r>
    </w:p>
    <w:p w14:paraId="2A5A7BDC" w14:textId="4C662C79" w:rsidR="00BE7785" w:rsidRPr="001902AA" w:rsidRDefault="00BE7785" w:rsidP="003F77F6">
      <w:pPr>
        <w:pStyle w:val="Heading1"/>
        <w:ind w:left="720"/>
        <w:rPr>
          <w:rFonts w:cs="Arial"/>
          <w:szCs w:val="24"/>
        </w:rPr>
      </w:pPr>
      <w:bookmarkStart w:id="0" w:name="_Toc420414111"/>
      <w:bookmarkStart w:id="1" w:name="_Toc115084516"/>
      <w:r>
        <w:rPr>
          <w:rFonts w:cs="Arial"/>
          <w:szCs w:val="24"/>
        </w:rPr>
        <w:lastRenderedPageBreak/>
        <w:t>Context</w:t>
      </w:r>
      <w:bookmarkEnd w:id="0"/>
      <w:bookmarkEnd w:id="1"/>
    </w:p>
    <w:p w14:paraId="7BA48452" w14:textId="29748105" w:rsidR="003F77F6" w:rsidRDefault="26594541" w:rsidP="00070430">
      <w:pPr>
        <w:pStyle w:val="ListParagraph"/>
        <w:numPr>
          <w:ilvl w:val="0"/>
          <w:numId w:val="5"/>
        </w:numPr>
        <w:spacing w:before="240" w:after="0" w:line="240" w:lineRule="auto"/>
        <w:ind w:left="567" w:hanging="567"/>
        <w:rPr>
          <w:rFonts w:ascii="Arial" w:hAnsi="Arial" w:cs="Arial"/>
        </w:rPr>
      </w:pPr>
      <w:r w:rsidRPr="003F77F6">
        <w:rPr>
          <w:rFonts w:ascii="Arial" w:hAnsi="Arial" w:cs="Arial"/>
        </w:rPr>
        <w:t>T</w:t>
      </w:r>
      <w:r w:rsidR="4A539B87" w:rsidRPr="003F77F6">
        <w:rPr>
          <w:rFonts w:ascii="Arial" w:hAnsi="Arial" w:cs="Arial"/>
        </w:rPr>
        <w:t>he University of Surrey is</w:t>
      </w:r>
      <w:r w:rsidR="008A7D7C" w:rsidRPr="003F77F6">
        <w:rPr>
          <w:rFonts w:ascii="Arial" w:hAnsi="Arial" w:cs="Arial"/>
        </w:rPr>
        <w:t xml:space="preserve"> committed to excellence in admissions and adher</w:t>
      </w:r>
      <w:r w:rsidR="001B3D4D" w:rsidRPr="003F77F6">
        <w:rPr>
          <w:rFonts w:ascii="Arial" w:hAnsi="Arial" w:cs="Arial"/>
        </w:rPr>
        <w:t>ing</w:t>
      </w:r>
      <w:r w:rsidR="008A7D7C" w:rsidRPr="003F77F6">
        <w:rPr>
          <w:rFonts w:ascii="Arial" w:hAnsi="Arial" w:cs="Arial"/>
        </w:rPr>
        <w:t xml:space="preserve"> to the principles of fairness and transparency </w:t>
      </w:r>
      <w:r w:rsidR="001B3D4D" w:rsidRPr="003F77F6">
        <w:rPr>
          <w:rFonts w:ascii="Arial" w:hAnsi="Arial" w:cs="Arial"/>
        </w:rPr>
        <w:t xml:space="preserve">as </w:t>
      </w:r>
      <w:r w:rsidR="008A7D7C" w:rsidRPr="003F77F6">
        <w:rPr>
          <w:rFonts w:ascii="Arial" w:hAnsi="Arial" w:cs="Arial"/>
        </w:rPr>
        <w:t xml:space="preserve">referred to by the </w:t>
      </w:r>
      <w:hyperlink r:id="rId16" w:history="1">
        <w:r w:rsidR="008A7D7C" w:rsidRPr="006D3E72">
          <w:rPr>
            <w:rStyle w:val="Hyperlink"/>
            <w:rFonts w:ascii="Arial" w:hAnsi="Arial" w:cs="Arial"/>
          </w:rPr>
          <w:t>Office for Students guidance</w:t>
        </w:r>
      </w:hyperlink>
      <w:r w:rsidR="008A7D7C" w:rsidRPr="003F77F6">
        <w:rPr>
          <w:rFonts w:ascii="Arial" w:hAnsi="Arial" w:cs="Arial"/>
        </w:rPr>
        <w:t>.</w:t>
      </w:r>
    </w:p>
    <w:p w14:paraId="5BFB6D9C" w14:textId="77777777" w:rsidR="003F77F6" w:rsidRDefault="003F77F6" w:rsidP="003F77F6">
      <w:pPr>
        <w:pStyle w:val="ListParagraph"/>
        <w:spacing w:before="240" w:after="0" w:line="240" w:lineRule="auto"/>
        <w:ind w:left="567"/>
        <w:rPr>
          <w:rFonts w:ascii="Arial" w:hAnsi="Arial" w:cs="Arial"/>
        </w:rPr>
      </w:pPr>
    </w:p>
    <w:p w14:paraId="3F4FDC5E" w14:textId="1B4D32DA" w:rsidR="001B3D4D" w:rsidRPr="003F77F6" w:rsidRDefault="001B3D4D" w:rsidP="00070430">
      <w:pPr>
        <w:pStyle w:val="ListParagraph"/>
        <w:numPr>
          <w:ilvl w:val="0"/>
          <w:numId w:val="5"/>
        </w:numPr>
        <w:spacing w:before="240" w:after="0" w:line="240" w:lineRule="auto"/>
        <w:ind w:left="567" w:hanging="567"/>
        <w:rPr>
          <w:rFonts w:ascii="Arial" w:hAnsi="Arial" w:cs="Arial"/>
        </w:rPr>
      </w:pPr>
      <w:r w:rsidRPr="003F77F6">
        <w:rPr>
          <w:rFonts w:ascii="Arial" w:hAnsi="Arial" w:cs="Arial"/>
        </w:rPr>
        <w:t>The University is enhanced by the presence of a diverse student body which includes students both from within the UK and from overseas, and applications from as wide a range of students as possible are actively encouraged.</w:t>
      </w:r>
    </w:p>
    <w:p w14:paraId="04F6F58D" w14:textId="77777777" w:rsidR="00F573F2" w:rsidRDefault="00F573F2" w:rsidP="003F77F6">
      <w:pPr>
        <w:pStyle w:val="Heading1"/>
        <w:rPr>
          <w:rFonts w:cs="Arial"/>
          <w:szCs w:val="24"/>
        </w:rPr>
      </w:pPr>
    </w:p>
    <w:p w14:paraId="7A9FA2F5" w14:textId="555EFD6A" w:rsidR="000471E0" w:rsidRPr="001902AA" w:rsidRDefault="006F10B4" w:rsidP="003F77F6">
      <w:pPr>
        <w:pStyle w:val="Heading1"/>
        <w:ind w:left="567"/>
        <w:rPr>
          <w:rFonts w:cs="Arial"/>
          <w:szCs w:val="24"/>
        </w:rPr>
      </w:pPr>
      <w:bookmarkStart w:id="2" w:name="_Toc115084517"/>
      <w:r>
        <w:rPr>
          <w:rFonts w:cs="Arial"/>
          <w:szCs w:val="24"/>
        </w:rPr>
        <w:t>P</w:t>
      </w:r>
      <w:r w:rsidR="000471E0">
        <w:rPr>
          <w:rFonts w:cs="Arial"/>
          <w:szCs w:val="24"/>
        </w:rPr>
        <w:t>urpose</w:t>
      </w:r>
      <w:bookmarkEnd w:id="2"/>
    </w:p>
    <w:p w14:paraId="2E96476F" w14:textId="077210EE" w:rsidR="003F77F6" w:rsidRPr="003F77F6" w:rsidRDefault="006F10B4" w:rsidP="003F77F6">
      <w:pPr>
        <w:pStyle w:val="ListParagraph"/>
        <w:numPr>
          <w:ilvl w:val="0"/>
          <w:numId w:val="5"/>
        </w:numPr>
        <w:spacing w:before="240" w:after="0" w:line="240" w:lineRule="auto"/>
        <w:ind w:left="567" w:hanging="567"/>
        <w:rPr>
          <w:rFonts w:ascii="Arial" w:hAnsi="Arial" w:cs="Arial"/>
        </w:rPr>
      </w:pPr>
      <w:r w:rsidRPr="003F77F6">
        <w:rPr>
          <w:rFonts w:ascii="Arial" w:hAnsi="Arial" w:cs="Arial"/>
        </w:rPr>
        <w:t xml:space="preserve">The purpose of this </w:t>
      </w:r>
      <w:r w:rsidRPr="003F77F6">
        <w:rPr>
          <w:rFonts w:ascii="Arial" w:hAnsi="Arial" w:cs="Arial"/>
          <w:i/>
        </w:rPr>
        <w:t>Code of practice</w:t>
      </w:r>
      <w:r w:rsidRPr="003F77F6">
        <w:rPr>
          <w:rFonts w:ascii="Arial" w:hAnsi="Arial" w:cs="Arial"/>
        </w:rPr>
        <w:t xml:space="preserve"> is to </w:t>
      </w:r>
      <w:r w:rsidR="003F77F6">
        <w:rPr>
          <w:rFonts w:ascii="Arial" w:hAnsi="Arial" w:cs="Arial"/>
        </w:rPr>
        <w:t xml:space="preserve">ensure that the University is </w:t>
      </w:r>
      <w:r w:rsidR="003F77F6" w:rsidRPr="001B3D4D">
        <w:rPr>
          <w:rFonts w:ascii="Arial" w:hAnsi="Arial" w:cs="Arial"/>
        </w:rPr>
        <w:t>treat</w:t>
      </w:r>
      <w:r w:rsidR="003F77F6">
        <w:rPr>
          <w:rFonts w:ascii="Arial" w:hAnsi="Arial" w:cs="Arial"/>
        </w:rPr>
        <w:t>ing</w:t>
      </w:r>
      <w:r w:rsidR="003F77F6" w:rsidRPr="001B3D4D">
        <w:rPr>
          <w:rFonts w:ascii="Arial" w:hAnsi="Arial" w:cs="Arial"/>
        </w:rPr>
        <w:t xml:space="preserve"> all applications fairly and according to the principles set out in </w:t>
      </w:r>
      <w:r w:rsidR="003F77F6">
        <w:rPr>
          <w:rFonts w:ascii="Arial" w:hAnsi="Arial" w:cs="Arial"/>
        </w:rPr>
        <w:t xml:space="preserve">the University </w:t>
      </w:r>
      <w:hyperlink r:id="rId17" w:history="1">
        <w:r w:rsidR="003F77F6" w:rsidRPr="00E074FE">
          <w:rPr>
            <w:rStyle w:val="Hyperlink"/>
            <w:rFonts w:ascii="Arial" w:hAnsi="Arial" w:cs="Arial"/>
          </w:rPr>
          <w:t>Quality Framework</w:t>
        </w:r>
      </w:hyperlink>
      <w:r w:rsidR="003F77F6">
        <w:rPr>
          <w:rFonts w:ascii="Arial" w:hAnsi="Arial" w:cs="Arial"/>
        </w:rPr>
        <w:t xml:space="preserve">, including </w:t>
      </w:r>
      <w:hyperlink r:id="rId18" w:history="1">
        <w:r w:rsidR="003F77F6" w:rsidRPr="00E074FE">
          <w:rPr>
            <w:rStyle w:val="Hyperlink"/>
            <w:rFonts w:ascii="Arial" w:hAnsi="Arial" w:cs="Arial"/>
            <w:i/>
            <w:iCs/>
          </w:rPr>
          <w:t>Regulations for Foundation Year</w:t>
        </w:r>
      </w:hyperlink>
      <w:r w:rsidR="003F77F6">
        <w:rPr>
          <w:rFonts w:ascii="Arial" w:hAnsi="Arial" w:cs="Arial"/>
        </w:rPr>
        <w:t xml:space="preserve">, </w:t>
      </w:r>
      <w:hyperlink r:id="rId19" w:history="1">
        <w:r w:rsidR="003F77F6" w:rsidRPr="00E074FE">
          <w:rPr>
            <w:rStyle w:val="Hyperlink"/>
            <w:rFonts w:ascii="Arial" w:hAnsi="Arial" w:cs="Arial"/>
            <w:i/>
            <w:iCs/>
          </w:rPr>
          <w:t>Regulations for taught programmes</w:t>
        </w:r>
      </w:hyperlink>
      <w:r w:rsidR="003F77F6">
        <w:rPr>
          <w:rFonts w:ascii="Arial" w:hAnsi="Arial" w:cs="Arial"/>
        </w:rPr>
        <w:t>, etc.</w:t>
      </w:r>
    </w:p>
    <w:p w14:paraId="6389B33A" w14:textId="77777777" w:rsidR="003F77F6" w:rsidRDefault="003F77F6" w:rsidP="003F77F6">
      <w:pPr>
        <w:pStyle w:val="ListParagraph"/>
        <w:spacing w:before="240" w:after="0" w:line="240" w:lineRule="auto"/>
        <w:ind w:left="567"/>
        <w:rPr>
          <w:rFonts w:ascii="Arial" w:hAnsi="Arial" w:cs="Arial"/>
        </w:rPr>
      </w:pPr>
    </w:p>
    <w:p w14:paraId="0DC2C0B8" w14:textId="21BA4D78" w:rsidR="003F77F6" w:rsidRDefault="003F77F6" w:rsidP="003F77F6">
      <w:pPr>
        <w:pStyle w:val="ListParagraph"/>
        <w:numPr>
          <w:ilvl w:val="0"/>
          <w:numId w:val="5"/>
        </w:numPr>
        <w:spacing w:before="240" w:after="0" w:line="240" w:lineRule="auto"/>
        <w:ind w:left="567" w:hanging="567"/>
        <w:rPr>
          <w:rFonts w:ascii="Arial" w:hAnsi="Arial" w:cs="Arial"/>
        </w:rPr>
      </w:pPr>
      <w:r>
        <w:rPr>
          <w:rFonts w:ascii="Arial" w:hAnsi="Arial" w:cs="Arial"/>
        </w:rPr>
        <w:t>The</w:t>
      </w:r>
      <w:r w:rsidRPr="001B3D4D">
        <w:rPr>
          <w:rFonts w:ascii="Arial" w:hAnsi="Arial" w:cs="Arial"/>
        </w:rPr>
        <w:t xml:space="preserve"> University’s admissions practices</w:t>
      </w:r>
      <w:r>
        <w:rPr>
          <w:rFonts w:ascii="Arial" w:hAnsi="Arial" w:cs="Arial"/>
        </w:rPr>
        <w:t xml:space="preserve"> are designed to</w:t>
      </w:r>
      <w:r w:rsidRPr="001B3D4D">
        <w:rPr>
          <w:rFonts w:ascii="Arial" w:hAnsi="Arial" w:cs="Arial"/>
        </w:rPr>
        <w:t xml:space="preserve"> </w:t>
      </w:r>
      <w:r>
        <w:rPr>
          <w:rFonts w:ascii="Arial" w:hAnsi="Arial" w:cs="Arial"/>
        </w:rPr>
        <w:t>consider all applications</w:t>
      </w:r>
      <w:r w:rsidRPr="001B3D4D">
        <w:rPr>
          <w:rFonts w:ascii="Arial" w:hAnsi="Arial" w:cs="Arial"/>
        </w:rPr>
        <w:t xml:space="preserve"> on the basis of applicants’ achievements and potential to successfully complete their chosen programme of study.</w:t>
      </w:r>
    </w:p>
    <w:p w14:paraId="48432ED9" w14:textId="5D92E46E" w:rsidR="003B4D58" w:rsidRPr="006F10B4" w:rsidRDefault="003B4D58" w:rsidP="001B3D4D">
      <w:pPr>
        <w:pStyle w:val="TableParagraph"/>
        <w:tabs>
          <w:tab w:val="left" w:pos="761"/>
        </w:tabs>
        <w:spacing w:before="44"/>
        <w:ind w:left="567" w:right="205" w:hanging="567"/>
        <w:rPr>
          <w:rFonts w:ascii="Arial" w:eastAsia="Calibri" w:hAnsi="Arial" w:cs="Arial"/>
          <w:color w:val="000000" w:themeColor="text1"/>
        </w:rPr>
      </w:pPr>
    </w:p>
    <w:p w14:paraId="59FE325F" w14:textId="3B905106" w:rsidR="00824C1E" w:rsidRPr="00CD2F9D" w:rsidRDefault="00CD2F9D" w:rsidP="003F77F6">
      <w:pPr>
        <w:pStyle w:val="TableParagraph"/>
        <w:tabs>
          <w:tab w:val="left" w:pos="761"/>
        </w:tabs>
        <w:spacing w:before="44"/>
        <w:ind w:left="567" w:right="205"/>
        <w:rPr>
          <w:rFonts w:ascii="Arial" w:eastAsia="Times New Roman" w:hAnsi="Arial" w:cs="Arial"/>
          <w:b/>
          <w:bCs/>
          <w:kern w:val="32"/>
          <w:sz w:val="24"/>
          <w:szCs w:val="24"/>
          <w:lang w:eastAsia="en-GB"/>
        </w:rPr>
      </w:pPr>
      <w:r w:rsidRPr="00CD2F9D">
        <w:rPr>
          <w:rFonts w:ascii="Arial" w:eastAsia="Times New Roman" w:hAnsi="Arial" w:cs="Arial"/>
          <w:b/>
          <w:bCs/>
          <w:kern w:val="32"/>
          <w:sz w:val="24"/>
          <w:szCs w:val="24"/>
          <w:lang w:eastAsia="en-GB"/>
        </w:rPr>
        <w:t>Scope</w:t>
      </w:r>
    </w:p>
    <w:p w14:paraId="40AA0A74" w14:textId="77777777" w:rsidR="00AE167B" w:rsidRDefault="00AE167B" w:rsidP="001B3D4D">
      <w:pPr>
        <w:spacing w:after="0" w:line="240" w:lineRule="auto"/>
        <w:ind w:left="567" w:hanging="567"/>
        <w:rPr>
          <w:rFonts w:cs="Arial"/>
        </w:rPr>
      </w:pPr>
    </w:p>
    <w:p w14:paraId="1C3568D1" w14:textId="044FFB71" w:rsidR="00E77617" w:rsidRPr="00E77617" w:rsidRDefault="00F43A26" w:rsidP="00E77617">
      <w:pPr>
        <w:pStyle w:val="ListParagraph"/>
        <w:numPr>
          <w:ilvl w:val="0"/>
          <w:numId w:val="5"/>
        </w:numPr>
        <w:spacing w:line="240" w:lineRule="auto"/>
        <w:ind w:left="567" w:hanging="567"/>
        <w:rPr>
          <w:rFonts w:cs="Arial"/>
        </w:rPr>
      </w:pPr>
      <w:r w:rsidRPr="001B3D4D">
        <w:rPr>
          <w:rFonts w:ascii="Arial" w:eastAsia="Calibri" w:hAnsi="Arial" w:cs="Arial"/>
          <w:color w:val="000000" w:themeColor="text1"/>
          <w:lang w:val="en-US"/>
        </w:rPr>
        <w:t xml:space="preserve">This document is the overarching </w:t>
      </w:r>
      <w:r w:rsidR="00B70C74" w:rsidRPr="00B70C74">
        <w:rPr>
          <w:rFonts w:ascii="Arial" w:eastAsia="Calibri" w:hAnsi="Arial" w:cs="Arial"/>
          <w:i/>
          <w:iCs/>
          <w:color w:val="000000" w:themeColor="text1"/>
          <w:lang w:val="en-US"/>
        </w:rPr>
        <w:t>Code of practice for undergraduate admissions</w:t>
      </w:r>
      <w:r w:rsidR="00B70C74" w:rsidRPr="00B70C74">
        <w:rPr>
          <w:rFonts w:ascii="Arial" w:eastAsia="Calibri" w:hAnsi="Arial" w:cs="Arial"/>
          <w:color w:val="000000" w:themeColor="text1"/>
          <w:lang w:val="en-US"/>
        </w:rPr>
        <w:t xml:space="preserve"> </w:t>
      </w:r>
      <w:r w:rsidRPr="001B3D4D">
        <w:rPr>
          <w:rFonts w:ascii="Arial" w:eastAsia="Calibri" w:hAnsi="Arial" w:cs="Arial"/>
          <w:color w:val="000000" w:themeColor="text1"/>
          <w:lang w:val="en-US"/>
        </w:rPr>
        <w:t>for the University of Surrey. It is relevant to applicants applying to study an Integrated Foundation programme or an undergraduate degree at the University of Surrey, from the UK, EU and overseas.</w:t>
      </w:r>
    </w:p>
    <w:p w14:paraId="2F0494CA" w14:textId="77777777" w:rsidR="00E77617" w:rsidRPr="00E77617" w:rsidRDefault="00E77617" w:rsidP="00E77617">
      <w:pPr>
        <w:pStyle w:val="ListParagraph"/>
        <w:spacing w:line="240" w:lineRule="auto"/>
        <w:ind w:left="567"/>
        <w:rPr>
          <w:rFonts w:cs="Arial"/>
        </w:rPr>
      </w:pPr>
    </w:p>
    <w:p w14:paraId="7AA03D8E" w14:textId="0DEAF0DB" w:rsidR="00F43A26" w:rsidRPr="00E77617" w:rsidRDefault="003F77F6" w:rsidP="00E77617">
      <w:pPr>
        <w:pStyle w:val="ListParagraph"/>
        <w:numPr>
          <w:ilvl w:val="0"/>
          <w:numId w:val="5"/>
        </w:numPr>
        <w:spacing w:line="240" w:lineRule="auto"/>
        <w:ind w:left="567" w:hanging="567"/>
        <w:rPr>
          <w:rStyle w:val="Hyperlink"/>
          <w:rFonts w:cs="Arial"/>
          <w:color w:val="auto"/>
          <w:u w:val="none"/>
        </w:rPr>
      </w:pPr>
      <w:r w:rsidRPr="00E77617">
        <w:rPr>
          <w:rFonts w:ascii="Arial" w:eastAsia="Calibri" w:hAnsi="Arial" w:cs="Arial"/>
          <w:color w:val="000000" w:themeColor="text1"/>
          <w:lang w:val="en-US"/>
        </w:rPr>
        <w:t xml:space="preserve">This </w:t>
      </w:r>
      <w:r w:rsidRPr="00E77617">
        <w:rPr>
          <w:rFonts w:ascii="Arial" w:eastAsia="Calibri" w:hAnsi="Arial" w:cs="Arial"/>
          <w:i/>
          <w:iCs/>
          <w:color w:val="000000" w:themeColor="text1"/>
          <w:lang w:val="en-US"/>
        </w:rPr>
        <w:t>Code of practice</w:t>
      </w:r>
      <w:r w:rsidRPr="00E77617">
        <w:rPr>
          <w:rFonts w:ascii="Arial" w:eastAsia="Calibri" w:hAnsi="Arial" w:cs="Arial"/>
          <w:color w:val="000000" w:themeColor="text1"/>
          <w:lang w:val="en-US"/>
        </w:rPr>
        <w:t xml:space="preserve"> </w:t>
      </w:r>
      <w:r w:rsidR="00E77617">
        <w:rPr>
          <w:rFonts w:ascii="Arial" w:eastAsia="Calibri" w:hAnsi="Arial" w:cs="Arial"/>
          <w:color w:val="000000" w:themeColor="text1"/>
          <w:lang w:val="en-US"/>
        </w:rPr>
        <w:t>does not cover</w:t>
      </w:r>
      <w:r w:rsidRPr="00E77617">
        <w:rPr>
          <w:rFonts w:ascii="Arial" w:eastAsia="Calibri" w:hAnsi="Arial" w:cs="Arial"/>
          <w:color w:val="000000" w:themeColor="text1"/>
          <w:lang w:val="en-US"/>
        </w:rPr>
        <w:t xml:space="preserve"> applicat</w:t>
      </w:r>
      <w:r w:rsidR="00F43A26" w:rsidRPr="00E77617">
        <w:rPr>
          <w:rFonts w:ascii="Arial" w:eastAsia="Calibri" w:hAnsi="Arial" w:cs="Arial"/>
          <w:color w:val="000000" w:themeColor="text1"/>
          <w:lang w:val="en-US"/>
        </w:rPr>
        <w:t>ions to study</w:t>
      </w:r>
      <w:r w:rsidR="00E77617" w:rsidRPr="00E77617">
        <w:rPr>
          <w:rFonts w:ascii="Arial" w:eastAsia="Calibri" w:hAnsi="Arial" w:cs="Arial"/>
          <w:color w:val="000000" w:themeColor="text1"/>
          <w:lang w:val="en-US"/>
        </w:rPr>
        <w:t xml:space="preserve"> a</w:t>
      </w:r>
      <w:r w:rsidR="00F43A26" w:rsidRPr="00E77617">
        <w:rPr>
          <w:rFonts w:ascii="Arial" w:eastAsia="Calibri" w:hAnsi="Arial" w:cs="Arial"/>
          <w:color w:val="000000" w:themeColor="text1"/>
          <w:lang w:val="en-US"/>
        </w:rPr>
        <w:t>n International Foundation Year offered by Study Group</w:t>
      </w:r>
      <w:r w:rsidR="00F43A26" w:rsidRPr="00E77617">
        <w:rPr>
          <w:rFonts w:cs="Arial"/>
        </w:rPr>
        <w:t xml:space="preserve"> (</w:t>
      </w:r>
      <w:hyperlink r:id="rId20" w:history="1">
        <w:r w:rsidR="00F43A26" w:rsidRPr="00E77617">
          <w:rPr>
            <w:rStyle w:val="Hyperlink"/>
            <w:rFonts w:ascii="Arial" w:hAnsi="Arial" w:cs="Arial"/>
          </w:rPr>
          <w:t>isc.surrey.ac.uk</w:t>
        </w:r>
      </w:hyperlink>
      <w:r w:rsidR="00F43A26" w:rsidRPr="00E77617">
        <w:rPr>
          <w:rStyle w:val="Hyperlink"/>
          <w:rFonts w:cs="Arial"/>
        </w:rPr>
        <w:t>).</w:t>
      </w:r>
    </w:p>
    <w:p w14:paraId="2DF8E090" w14:textId="77777777" w:rsidR="00E77617" w:rsidRPr="00E77617" w:rsidRDefault="00E77617" w:rsidP="00E77617">
      <w:pPr>
        <w:pStyle w:val="ListParagraph"/>
        <w:rPr>
          <w:rStyle w:val="Hyperlink"/>
          <w:rFonts w:cs="Arial"/>
          <w:color w:val="auto"/>
          <w:u w:val="none"/>
        </w:rPr>
      </w:pPr>
    </w:p>
    <w:p w14:paraId="0926BBA2" w14:textId="24AE6D91" w:rsidR="00E77617" w:rsidRPr="00E77617" w:rsidRDefault="00E77617" w:rsidP="00E77617">
      <w:pPr>
        <w:pStyle w:val="ListParagraph"/>
        <w:numPr>
          <w:ilvl w:val="0"/>
          <w:numId w:val="5"/>
        </w:numPr>
        <w:spacing w:line="240" w:lineRule="auto"/>
        <w:ind w:left="567" w:hanging="567"/>
        <w:rPr>
          <w:rStyle w:val="Hyperlink"/>
          <w:rFonts w:cs="Arial"/>
          <w:color w:val="auto"/>
          <w:u w:val="none"/>
        </w:rPr>
      </w:pPr>
      <w:r w:rsidRPr="00E77617">
        <w:rPr>
          <w:rFonts w:ascii="Arial" w:eastAsia="Calibri" w:hAnsi="Arial" w:cs="Arial"/>
          <w:color w:val="000000" w:themeColor="text1"/>
          <w:lang w:val="en-US"/>
        </w:rPr>
        <w:t xml:space="preserve">This </w:t>
      </w:r>
      <w:r w:rsidRPr="00E77617">
        <w:rPr>
          <w:rFonts w:ascii="Arial" w:eastAsia="Calibri" w:hAnsi="Arial" w:cs="Arial"/>
          <w:i/>
          <w:iCs/>
          <w:color w:val="000000" w:themeColor="text1"/>
          <w:lang w:val="en-US"/>
        </w:rPr>
        <w:t>Code of practice</w:t>
      </w:r>
      <w:r w:rsidRPr="00E77617">
        <w:rPr>
          <w:rFonts w:ascii="Arial" w:eastAsia="Calibri" w:hAnsi="Arial" w:cs="Arial"/>
          <w:color w:val="000000" w:themeColor="text1"/>
          <w:lang w:val="en-US"/>
        </w:rPr>
        <w:t xml:space="preserve"> </w:t>
      </w:r>
      <w:r w:rsidRPr="00AE167B">
        <w:rPr>
          <w:rFonts w:ascii="Arial" w:eastAsia="Calibri" w:hAnsi="Arial" w:cs="Arial"/>
          <w:color w:val="000000" w:themeColor="text1"/>
          <w:lang w:val="en-US"/>
        </w:rPr>
        <w:t xml:space="preserve">is intended to provide information for applicants, their parents or advisers, and for staff within the University of Surrey on the </w:t>
      </w:r>
      <w:r>
        <w:rPr>
          <w:rFonts w:ascii="Arial" w:eastAsia="Calibri" w:hAnsi="Arial" w:cs="Arial"/>
          <w:color w:val="000000" w:themeColor="text1"/>
          <w:lang w:val="en-US"/>
        </w:rPr>
        <w:t xml:space="preserve">key </w:t>
      </w:r>
      <w:r w:rsidRPr="00AE167B">
        <w:rPr>
          <w:rFonts w:ascii="Arial" w:eastAsia="Calibri" w:hAnsi="Arial" w:cs="Arial"/>
          <w:color w:val="000000" w:themeColor="text1"/>
          <w:lang w:val="en-US"/>
        </w:rPr>
        <w:t xml:space="preserve">principles </w:t>
      </w:r>
      <w:r>
        <w:rPr>
          <w:rFonts w:ascii="Arial" w:eastAsia="Calibri" w:hAnsi="Arial" w:cs="Arial"/>
          <w:color w:val="000000" w:themeColor="text1"/>
          <w:lang w:val="en-US"/>
        </w:rPr>
        <w:t>relevant</w:t>
      </w:r>
      <w:r w:rsidRPr="00AE167B">
        <w:rPr>
          <w:rFonts w:ascii="Arial" w:eastAsia="Calibri" w:hAnsi="Arial" w:cs="Arial"/>
          <w:color w:val="000000" w:themeColor="text1"/>
          <w:lang w:val="en-US"/>
        </w:rPr>
        <w:t xml:space="preserve"> to applications for undergraduate study. It outlines the University’s approach to a number of matters relating to the processing of applications and explains the institutional, national and legal context within which the admissions</w:t>
      </w:r>
      <w:r>
        <w:rPr>
          <w:rFonts w:ascii="Arial" w:eastAsia="Calibri" w:hAnsi="Arial" w:cs="Arial"/>
          <w:color w:val="000000" w:themeColor="text1"/>
          <w:lang w:val="en-US"/>
        </w:rPr>
        <w:t>’</w:t>
      </w:r>
      <w:r w:rsidRPr="00AE167B">
        <w:rPr>
          <w:rFonts w:ascii="Arial" w:eastAsia="Calibri" w:hAnsi="Arial" w:cs="Arial"/>
          <w:color w:val="000000" w:themeColor="text1"/>
          <w:lang w:val="en-US"/>
        </w:rPr>
        <w:t xml:space="preserve"> function operates</w:t>
      </w:r>
      <w:r>
        <w:rPr>
          <w:rFonts w:ascii="Arial" w:eastAsia="Calibri" w:hAnsi="Arial" w:cs="Arial"/>
          <w:color w:val="000000" w:themeColor="text1"/>
          <w:lang w:val="en-US"/>
        </w:rPr>
        <w:t>.</w:t>
      </w:r>
    </w:p>
    <w:p w14:paraId="70666B3E" w14:textId="77777777" w:rsidR="00F43A26" w:rsidRPr="006D3E72" w:rsidRDefault="00F43A26" w:rsidP="00F43A26">
      <w:pPr>
        <w:pStyle w:val="ListParagraph"/>
        <w:spacing w:after="0" w:line="240" w:lineRule="auto"/>
        <w:rPr>
          <w:rFonts w:cs="Arial"/>
        </w:rPr>
      </w:pPr>
    </w:p>
    <w:p w14:paraId="42AA2290" w14:textId="0AE84155" w:rsidR="000471E0" w:rsidRPr="001902AA" w:rsidRDefault="004B4BB2" w:rsidP="00B70C74">
      <w:pPr>
        <w:pStyle w:val="Heading1"/>
        <w:ind w:left="567"/>
        <w:rPr>
          <w:rFonts w:cs="Arial"/>
          <w:szCs w:val="24"/>
        </w:rPr>
      </w:pPr>
      <w:bookmarkStart w:id="3" w:name="_Toc115084518"/>
      <w:r>
        <w:rPr>
          <w:rFonts w:cs="Arial"/>
          <w:szCs w:val="24"/>
        </w:rPr>
        <w:t>Principles</w:t>
      </w:r>
      <w:bookmarkEnd w:id="3"/>
    </w:p>
    <w:p w14:paraId="177747A4" w14:textId="5381F8FA" w:rsidR="003B4D58" w:rsidRPr="00E77617" w:rsidRDefault="003B4D58" w:rsidP="00B64A53">
      <w:pPr>
        <w:pStyle w:val="ListParagraph"/>
        <w:numPr>
          <w:ilvl w:val="0"/>
          <w:numId w:val="5"/>
        </w:numPr>
        <w:spacing w:after="0" w:line="240" w:lineRule="auto"/>
        <w:ind w:left="567" w:hanging="567"/>
        <w:rPr>
          <w:rFonts w:ascii="Arial" w:eastAsia="Calibri" w:hAnsi="Arial" w:cs="Arial"/>
          <w:color w:val="000000" w:themeColor="text1"/>
          <w:lang w:val="en-US"/>
        </w:rPr>
      </w:pPr>
      <w:bookmarkStart w:id="4" w:name="_Toc111112129"/>
      <w:r w:rsidRPr="00E77617">
        <w:rPr>
          <w:rFonts w:ascii="Arial" w:eastAsia="Calibri" w:hAnsi="Arial" w:cs="Arial"/>
          <w:color w:val="000000" w:themeColor="text1"/>
          <w:lang w:val="en-US"/>
        </w:rPr>
        <w:t xml:space="preserve">The University of Surrey offers a high-quality learning environment, which supports students to achieve their full potential in the academic discipline and prepares them for professional life. </w:t>
      </w:r>
      <w:r w:rsidR="00B70C74">
        <w:rPr>
          <w:rFonts w:ascii="Arial" w:eastAsia="Calibri" w:hAnsi="Arial" w:cs="Arial"/>
          <w:color w:val="000000" w:themeColor="text1"/>
          <w:lang w:val="en-US"/>
        </w:rPr>
        <w:t>The key principle of the</w:t>
      </w:r>
      <w:r w:rsidRPr="00E77617">
        <w:rPr>
          <w:rFonts w:ascii="Arial" w:eastAsia="Calibri" w:hAnsi="Arial" w:cs="Arial"/>
          <w:color w:val="000000" w:themeColor="text1"/>
          <w:lang w:val="en-US"/>
        </w:rPr>
        <w:t xml:space="preserve"> University</w:t>
      </w:r>
      <w:r w:rsidR="00B70C74">
        <w:rPr>
          <w:rFonts w:ascii="Arial" w:eastAsia="Calibri" w:hAnsi="Arial" w:cs="Arial"/>
          <w:color w:val="000000" w:themeColor="text1"/>
          <w:lang w:val="en-US"/>
        </w:rPr>
        <w:t>’s approach is</w:t>
      </w:r>
      <w:r w:rsidRPr="00E77617">
        <w:rPr>
          <w:rFonts w:ascii="Arial" w:eastAsia="Calibri" w:hAnsi="Arial" w:cs="Arial"/>
          <w:color w:val="000000" w:themeColor="text1"/>
          <w:lang w:val="en-US"/>
        </w:rPr>
        <w:t xml:space="preserve"> that all applicants are considered primarily on merit and their academic potential.</w:t>
      </w:r>
    </w:p>
    <w:p w14:paraId="560427B5" w14:textId="77777777" w:rsidR="003B4D58" w:rsidRPr="00140F73" w:rsidRDefault="003B4D58" w:rsidP="00E77617">
      <w:pPr>
        <w:spacing w:after="0" w:line="240" w:lineRule="auto"/>
        <w:ind w:left="567" w:hanging="720"/>
        <w:rPr>
          <w:rFonts w:cstheme="minorHAnsi"/>
          <w:color w:val="000000" w:themeColor="text1"/>
        </w:rPr>
      </w:pPr>
    </w:p>
    <w:p w14:paraId="78742F61" w14:textId="57A6B865" w:rsidR="003B4D58" w:rsidRPr="00B70C74" w:rsidRDefault="003B4D58" w:rsidP="00B70C74">
      <w:pPr>
        <w:pStyle w:val="ListParagraph"/>
        <w:numPr>
          <w:ilvl w:val="0"/>
          <w:numId w:val="5"/>
        </w:numPr>
        <w:spacing w:after="0" w:line="240" w:lineRule="auto"/>
        <w:ind w:left="567" w:hanging="567"/>
        <w:rPr>
          <w:rFonts w:ascii="Arial" w:eastAsia="Calibri" w:hAnsi="Arial" w:cs="Arial"/>
          <w:color w:val="000000" w:themeColor="text1"/>
          <w:lang w:val="en-US"/>
        </w:rPr>
      </w:pPr>
      <w:r w:rsidRPr="00B70C74">
        <w:rPr>
          <w:rFonts w:ascii="Arial" w:eastAsia="Calibri" w:hAnsi="Arial" w:cs="Arial"/>
          <w:color w:val="000000" w:themeColor="text1"/>
          <w:lang w:val="en-US"/>
        </w:rPr>
        <w:t xml:space="preserve">The University’s </w:t>
      </w:r>
      <w:r w:rsidRPr="00B70C74">
        <w:rPr>
          <w:rFonts w:ascii="Arial" w:eastAsia="Calibri" w:hAnsi="Arial" w:cs="Arial"/>
          <w:i/>
          <w:iCs/>
          <w:color w:val="000000" w:themeColor="text1"/>
          <w:lang w:val="en-US"/>
        </w:rPr>
        <w:t xml:space="preserve">Code of </w:t>
      </w:r>
      <w:r w:rsidR="00B70C74" w:rsidRPr="00B70C74">
        <w:rPr>
          <w:rFonts w:ascii="Arial" w:eastAsia="Calibri" w:hAnsi="Arial" w:cs="Arial"/>
          <w:i/>
          <w:iCs/>
          <w:color w:val="000000" w:themeColor="text1"/>
          <w:lang w:val="en-US"/>
        </w:rPr>
        <w:t>p</w:t>
      </w:r>
      <w:r w:rsidRPr="00B70C74">
        <w:rPr>
          <w:rFonts w:ascii="Arial" w:eastAsia="Calibri" w:hAnsi="Arial" w:cs="Arial"/>
          <w:i/>
          <w:iCs/>
          <w:color w:val="000000" w:themeColor="text1"/>
          <w:lang w:val="en-US"/>
        </w:rPr>
        <w:t>ractice</w:t>
      </w:r>
      <w:r w:rsidR="00B70C74" w:rsidRPr="00B70C74">
        <w:rPr>
          <w:rFonts w:ascii="Arial" w:eastAsia="Calibri" w:hAnsi="Arial" w:cs="Arial"/>
          <w:i/>
          <w:iCs/>
          <w:color w:val="000000" w:themeColor="text1"/>
          <w:lang w:val="en-US"/>
        </w:rPr>
        <w:t xml:space="preserve"> for undergraduate admissions</w:t>
      </w:r>
      <w:r w:rsidRPr="00B70C74">
        <w:rPr>
          <w:rFonts w:ascii="Arial" w:eastAsia="Calibri" w:hAnsi="Arial" w:cs="Arial"/>
          <w:color w:val="000000" w:themeColor="text1"/>
          <w:lang w:val="en-US"/>
        </w:rPr>
        <w:t xml:space="preserve"> is committed to:</w:t>
      </w:r>
    </w:p>
    <w:p w14:paraId="1C4A9A45" w14:textId="77777777" w:rsidR="003B4D58" w:rsidRPr="00140F73" w:rsidRDefault="003B4D58" w:rsidP="003B4D58">
      <w:pPr>
        <w:spacing w:after="0" w:line="240" w:lineRule="auto"/>
        <w:rPr>
          <w:rFonts w:cstheme="minorHAnsi"/>
          <w:color w:val="000000" w:themeColor="text1"/>
        </w:rPr>
      </w:pPr>
    </w:p>
    <w:p w14:paraId="750D109F" w14:textId="32F84453" w:rsidR="003B4D58" w:rsidRPr="00032271" w:rsidRDefault="00B70C74" w:rsidP="00FA79AE">
      <w:pPr>
        <w:pStyle w:val="ListParagraph"/>
        <w:numPr>
          <w:ilvl w:val="0"/>
          <w:numId w:val="3"/>
        </w:numPr>
        <w:spacing w:after="0" w:line="240" w:lineRule="auto"/>
        <w:rPr>
          <w:rFonts w:asciiTheme="minorBidi" w:hAnsiTheme="minorBidi"/>
          <w:color w:val="000000" w:themeColor="text1"/>
        </w:rPr>
      </w:pPr>
      <w:r>
        <w:rPr>
          <w:rFonts w:asciiTheme="minorBidi" w:hAnsiTheme="minorBidi"/>
          <w:color w:val="000000" w:themeColor="text1"/>
        </w:rPr>
        <w:t>p</w:t>
      </w:r>
      <w:r w:rsidR="003B4D58" w:rsidRPr="00032271">
        <w:rPr>
          <w:rFonts w:asciiTheme="minorBidi" w:hAnsiTheme="minorBidi"/>
          <w:color w:val="000000" w:themeColor="text1"/>
        </w:rPr>
        <w:t>roviding transparent, consistent and efficient information</w:t>
      </w:r>
    </w:p>
    <w:p w14:paraId="11438F83" w14:textId="3EEF6FBB" w:rsidR="003B4D58" w:rsidRPr="00032271" w:rsidRDefault="00B70C74" w:rsidP="00FA79AE">
      <w:pPr>
        <w:pStyle w:val="ListParagraph"/>
        <w:numPr>
          <w:ilvl w:val="0"/>
          <w:numId w:val="3"/>
        </w:numPr>
        <w:spacing w:after="0" w:line="240" w:lineRule="auto"/>
        <w:rPr>
          <w:rFonts w:asciiTheme="minorBidi" w:hAnsiTheme="minorBidi"/>
          <w:color w:val="000000" w:themeColor="text1"/>
        </w:rPr>
      </w:pPr>
      <w:r>
        <w:rPr>
          <w:rFonts w:asciiTheme="minorBidi" w:hAnsiTheme="minorBidi"/>
          <w:color w:val="000000" w:themeColor="text1"/>
        </w:rPr>
        <w:t>s</w:t>
      </w:r>
      <w:r w:rsidR="003B4D58" w:rsidRPr="00032271">
        <w:rPr>
          <w:rFonts w:asciiTheme="minorBidi" w:hAnsiTheme="minorBidi"/>
          <w:color w:val="000000" w:themeColor="text1"/>
        </w:rPr>
        <w:t>electing applicants who are able to complete the programme as judged by their achievements and potential</w:t>
      </w:r>
    </w:p>
    <w:p w14:paraId="67E54FDB" w14:textId="09DAE9EF" w:rsidR="003B4D58" w:rsidRPr="00032271" w:rsidRDefault="00B70C74" w:rsidP="00FA79AE">
      <w:pPr>
        <w:pStyle w:val="ListParagraph"/>
        <w:numPr>
          <w:ilvl w:val="0"/>
          <w:numId w:val="3"/>
        </w:numPr>
        <w:spacing w:after="0" w:line="240" w:lineRule="auto"/>
        <w:rPr>
          <w:rFonts w:asciiTheme="minorBidi" w:hAnsiTheme="minorBidi"/>
          <w:color w:val="000000" w:themeColor="text1"/>
        </w:rPr>
      </w:pPr>
      <w:r>
        <w:rPr>
          <w:rFonts w:asciiTheme="minorBidi" w:hAnsiTheme="minorBidi"/>
          <w:color w:val="000000" w:themeColor="text1"/>
        </w:rPr>
        <w:t>u</w:t>
      </w:r>
      <w:r w:rsidR="003B4D58" w:rsidRPr="00032271">
        <w:rPr>
          <w:rFonts w:asciiTheme="minorBidi" w:hAnsiTheme="minorBidi"/>
          <w:color w:val="000000" w:themeColor="text1"/>
        </w:rPr>
        <w:t>sing reliable assessment methods, including consideration of evidence provided, and, where appropriate, auditions and interviews</w:t>
      </w:r>
    </w:p>
    <w:p w14:paraId="63357865" w14:textId="60C35CCF" w:rsidR="003B4D58" w:rsidRPr="00032271" w:rsidRDefault="00B70C74" w:rsidP="00FA79AE">
      <w:pPr>
        <w:pStyle w:val="ListParagraph"/>
        <w:numPr>
          <w:ilvl w:val="0"/>
          <w:numId w:val="3"/>
        </w:numPr>
        <w:spacing w:after="0" w:line="240" w:lineRule="auto"/>
        <w:rPr>
          <w:rFonts w:asciiTheme="minorBidi" w:hAnsiTheme="minorBidi"/>
          <w:color w:val="000000" w:themeColor="text1"/>
        </w:rPr>
      </w:pPr>
      <w:r>
        <w:rPr>
          <w:rFonts w:asciiTheme="minorBidi" w:hAnsiTheme="minorBidi"/>
          <w:color w:val="000000" w:themeColor="text1"/>
        </w:rPr>
        <w:lastRenderedPageBreak/>
        <w:t>m</w:t>
      </w:r>
      <w:r w:rsidR="003B4D58" w:rsidRPr="00032271">
        <w:rPr>
          <w:rFonts w:asciiTheme="minorBidi" w:hAnsiTheme="minorBidi"/>
          <w:color w:val="000000" w:themeColor="text1"/>
        </w:rPr>
        <w:t>inimising barriers in line with the University’s access and participation plans approved by the Office for Students</w:t>
      </w:r>
    </w:p>
    <w:p w14:paraId="1558B3DA" w14:textId="77777777" w:rsidR="003B4D58" w:rsidRPr="00032271" w:rsidRDefault="003B4D58" w:rsidP="003B4D58">
      <w:pPr>
        <w:pStyle w:val="ListParagraph"/>
        <w:spacing w:after="0" w:line="240" w:lineRule="auto"/>
        <w:rPr>
          <w:rFonts w:asciiTheme="minorBidi" w:hAnsiTheme="minorBidi"/>
          <w:color w:val="000000" w:themeColor="text1"/>
        </w:rPr>
      </w:pPr>
    </w:p>
    <w:p w14:paraId="06F88106" w14:textId="77777777" w:rsidR="003B4D58" w:rsidRPr="00B70C74" w:rsidRDefault="003B4D58" w:rsidP="00B70C74">
      <w:pPr>
        <w:pStyle w:val="ListParagraph"/>
        <w:numPr>
          <w:ilvl w:val="0"/>
          <w:numId w:val="5"/>
        </w:numPr>
        <w:spacing w:after="0" w:line="240" w:lineRule="auto"/>
        <w:ind w:left="567" w:hanging="567"/>
        <w:rPr>
          <w:rFonts w:asciiTheme="minorBidi" w:hAnsiTheme="minorBidi"/>
          <w:color w:val="000000" w:themeColor="text1"/>
        </w:rPr>
      </w:pPr>
      <w:r w:rsidRPr="00B70C74">
        <w:rPr>
          <w:rFonts w:asciiTheme="minorBidi" w:hAnsiTheme="minorBidi"/>
          <w:color w:val="000000" w:themeColor="text1"/>
        </w:rPr>
        <w:t>Initially, applicants will be considered for entry based on the following criteria:</w:t>
      </w:r>
    </w:p>
    <w:p w14:paraId="067A79F5" w14:textId="77777777" w:rsidR="003B4D58" w:rsidRPr="00032271" w:rsidRDefault="003B4D58" w:rsidP="003B4D58">
      <w:pPr>
        <w:spacing w:after="0" w:line="240" w:lineRule="auto"/>
        <w:rPr>
          <w:rFonts w:asciiTheme="minorBidi" w:hAnsiTheme="minorBidi"/>
          <w:color w:val="000000" w:themeColor="text1"/>
        </w:rPr>
      </w:pPr>
    </w:p>
    <w:p w14:paraId="23A55704" w14:textId="77777777" w:rsidR="003B4D58" w:rsidRPr="00032271" w:rsidRDefault="003B4D58" w:rsidP="00FA79AE">
      <w:pPr>
        <w:pStyle w:val="ListParagraph"/>
        <w:numPr>
          <w:ilvl w:val="0"/>
          <w:numId w:val="4"/>
        </w:numPr>
        <w:spacing w:after="0" w:line="240" w:lineRule="auto"/>
        <w:rPr>
          <w:rFonts w:asciiTheme="minorBidi" w:hAnsiTheme="minorBidi"/>
          <w:color w:val="000000" w:themeColor="text1"/>
        </w:rPr>
      </w:pPr>
      <w:r w:rsidRPr="00032271">
        <w:rPr>
          <w:rFonts w:asciiTheme="minorBidi" w:hAnsiTheme="minorBidi"/>
          <w:color w:val="000000" w:themeColor="text1"/>
        </w:rPr>
        <w:t>Review of prior academic achievement of the applicant</w:t>
      </w:r>
    </w:p>
    <w:p w14:paraId="1907F1F9" w14:textId="77777777" w:rsidR="003B4D58" w:rsidRPr="00032271" w:rsidRDefault="003B4D58" w:rsidP="00FA79AE">
      <w:pPr>
        <w:pStyle w:val="ListParagraph"/>
        <w:numPr>
          <w:ilvl w:val="0"/>
          <w:numId w:val="4"/>
        </w:numPr>
        <w:spacing w:after="0" w:line="240" w:lineRule="auto"/>
        <w:rPr>
          <w:rFonts w:asciiTheme="minorBidi" w:hAnsiTheme="minorBidi"/>
          <w:color w:val="000000" w:themeColor="text1"/>
        </w:rPr>
      </w:pPr>
      <w:r w:rsidRPr="00032271">
        <w:rPr>
          <w:rFonts w:asciiTheme="minorBidi" w:hAnsiTheme="minorBidi"/>
          <w:color w:val="000000" w:themeColor="text1"/>
        </w:rPr>
        <w:t>Review of predicted examination results where results are not yet known</w:t>
      </w:r>
    </w:p>
    <w:p w14:paraId="60DA95CD" w14:textId="77777777" w:rsidR="003B4D58" w:rsidRPr="00032271" w:rsidRDefault="003B4D58" w:rsidP="00FA79AE">
      <w:pPr>
        <w:pStyle w:val="ListParagraph"/>
        <w:numPr>
          <w:ilvl w:val="0"/>
          <w:numId w:val="4"/>
        </w:numPr>
        <w:spacing w:after="0" w:line="240" w:lineRule="auto"/>
        <w:rPr>
          <w:rFonts w:asciiTheme="minorBidi" w:hAnsiTheme="minorBidi"/>
          <w:color w:val="000000" w:themeColor="text1"/>
        </w:rPr>
      </w:pPr>
      <w:r w:rsidRPr="00032271">
        <w:rPr>
          <w:rFonts w:asciiTheme="minorBidi" w:hAnsiTheme="minorBidi"/>
          <w:color w:val="000000" w:themeColor="text1"/>
        </w:rPr>
        <w:t>Review of the personal statement in support of the application</w:t>
      </w:r>
    </w:p>
    <w:p w14:paraId="3CB1CA17" w14:textId="77777777" w:rsidR="003B4D58" w:rsidRPr="00032271" w:rsidRDefault="003B4D58" w:rsidP="00FA79AE">
      <w:pPr>
        <w:pStyle w:val="ListParagraph"/>
        <w:numPr>
          <w:ilvl w:val="0"/>
          <w:numId w:val="4"/>
        </w:numPr>
        <w:spacing w:after="0" w:line="240" w:lineRule="auto"/>
        <w:rPr>
          <w:rFonts w:asciiTheme="minorBidi" w:hAnsiTheme="minorBidi"/>
          <w:color w:val="000000" w:themeColor="text1"/>
        </w:rPr>
      </w:pPr>
      <w:r w:rsidRPr="00032271">
        <w:rPr>
          <w:rFonts w:asciiTheme="minorBidi" w:hAnsiTheme="minorBidi"/>
          <w:color w:val="000000" w:themeColor="text1"/>
        </w:rPr>
        <w:t>Review of the referee’s assessment of an applicant’s ability</w:t>
      </w:r>
    </w:p>
    <w:p w14:paraId="0BA2AE6C" w14:textId="77777777" w:rsidR="003B4D58" w:rsidRPr="00032271" w:rsidRDefault="003B4D58" w:rsidP="00FA79AE">
      <w:pPr>
        <w:pStyle w:val="ListParagraph"/>
        <w:numPr>
          <w:ilvl w:val="0"/>
          <w:numId w:val="4"/>
        </w:numPr>
        <w:spacing w:after="0" w:line="240" w:lineRule="auto"/>
        <w:rPr>
          <w:rFonts w:asciiTheme="minorBidi" w:hAnsiTheme="minorBidi"/>
          <w:color w:val="000000" w:themeColor="text1"/>
        </w:rPr>
      </w:pPr>
      <w:r w:rsidRPr="00032271">
        <w:rPr>
          <w:rFonts w:asciiTheme="minorBidi" w:hAnsiTheme="minorBidi"/>
          <w:color w:val="000000" w:themeColor="text1"/>
        </w:rPr>
        <w:t>Review of relevant work experience</w:t>
      </w:r>
    </w:p>
    <w:p w14:paraId="7B0A2572" w14:textId="77777777" w:rsidR="003B4D58" w:rsidRPr="00032271" w:rsidRDefault="003B4D58" w:rsidP="003B4D58">
      <w:pPr>
        <w:pStyle w:val="ListParagraph"/>
        <w:spacing w:after="0" w:line="240" w:lineRule="auto"/>
        <w:rPr>
          <w:rFonts w:asciiTheme="minorBidi" w:hAnsiTheme="minorBidi"/>
          <w:color w:val="000000" w:themeColor="text1"/>
        </w:rPr>
      </w:pPr>
    </w:p>
    <w:p w14:paraId="4F4B79CE" w14:textId="7A2A97F5" w:rsidR="003B4D58" w:rsidRDefault="003B4D58" w:rsidP="006F07F0">
      <w:pPr>
        <w:spacing w:after="0" w:line="240" w:lineRule="auto"/>
        <w:ind w:firstLine="567"/>
        <w:rPr>
          <w:rFonts w:asciiTheme="minorBidi" w:hAnsiTheme="minorBidi"/>
          <w:color w:val="000000" w:themeColor="text1"/>
        </w:rPr>
      </w:pPr>
      <w:r w:rsidRPr="00B70C74">
        <w:rPr>
          <w:rFonts w:asciiTheme="minorBidi" w:hAnsiTheme="minorBidi"/>
          <w:color w:val="000000" w:themeColor="text1"/>
        </w:rPr>
        <w:t xml:space="preserve">See </w:t>
      </w:r>
      <w:r w:rsidR="006F07F0">
        <w:rPr>
          <w:rFonts w:asciiTheme="minorBidi" w:hAnsiTheme="minorBidi"/>
          <w:color w:val="000000" w:themeColor="text1"/>
        </w:rPr>
        <w:t>paragraphs</w:t>
      </w:r>
      <w:r w:rsidRPr="00B70C74">
        <w:rPr>
          <w:rFonts w:asciiTheme="minorBidi" w:hAnsiTheme="minorBidi"/>
          <w:color w:val="000000" w:themeColor="text1"/>
        </w:rPr>
        <w:t xml:space="preserve"> </w:t>
      </w:r>
      <w:r w:rsidR="006F07F0">
        <w:rPr>
          <w:rFonts w:asciiTheme="minorBidi" w:hAnsiTheme="minorBidi"/>
          <w:color w:val="000000" w:themeColor="text1"/>
        </w:rPr>
        <w:t>15-19</w:t>
      </w:r>
      <w:r w:rsidRPr="00B70C74">
        <w:rPr>
          <w:rFonts w:asciiTheme="minorBidi" w:hAnsiTheme="minorBidi"/>
          <w:color w:val="000000" w:themeColor="text1"/>
        </w:rPr>
        <w:t xml:space="preserve"> </w:t>
      </w:r>
      <w:r w:rsidR="006F07F0">
        <w:rPr>
          <w:rFonts w:asciiTheme="minorBidi" w:hAnsiTheme="minorBidi"/>
          <w:color w:val="000000" w:themeColor="text1"/>
        </w:rPr>
        <w:t xml:space="preserve">below </w:t>
      </w:r>
      <w:r w:rsidRPr="00B70C74">
        <w:rPr>
          <w:rFonts w:asciiTheme="minorBidi" w:hAnsiTheme="minorBidi"/>
          <w:color w:val="000000" w:themeColor="text1"/>
        </w:rPr>
        <w:t>for full details of admissions and selection criteria.</w:t>
      </w:r>
    </w:p>
    <w:p w14:paraId="2437B9BC" w14:textId="77777777" w:rsidR="00B70C74" w:rsidRPr="00B70C74" w:rsidRDefault="00B70C74" w:rsidP="00B70C74">
      <w:pPr>
        <w:spacing w:after="0" w:line="240" w:lineRule="auto"/>
        <w:ind w:firstLine="360"/>
        <w:rPr>
          <w:rFonts w:asciiTheme="minorBidi" w:hAnsiTheme="minorBidi"/>
          <w:color w:val="000000" w:themeColor="text1"/>
        </w:rPr>
      </w:pPr>
    </w:p>
    <w:p w14:paraId="04B32CC2" w14:textId="32521ED9" w:rsidR="00B074B0" w:rsidRPr="00B70C74" w:rsidRDefault="00B074B0" w:rsidP="00CB55E7">
      <w:pPr>
        <w:pStyle w:val="Heading1"/>
        <w:ind w:left="567"/>
      </w:pPr>
      <w:bookmarkStart w:id="5" w:name="_Toc115084519"/>
      <w:bookmarkStart w:id="6" w:name="_Toc111112130"/>
      <w:bookmarkEnd w:id="4"/>
      <w:r w:rsidRPr="00B70C74">
        <w:t>Roles and responsibilities</w:t>
      </w:r>
      <w:bookmarkEnd w:id="5"/>
    </w:p>
    <w:p w14:paraId="68C8BAFB" w14:textId="39CAD18E" w:rsidR="00B074B0" w:rsidRPr="00B70C74" w:rsidRDefault="00B70C74" w:rsidP="00B70C74">
      <w:pPr>
        <w:pStyle w:val="ListParagraph"/>
        <w:numPr>
          <w:ilvl w:val="0"/>
          <w:numId w:val="5"/>
        </w:numPr>
        <w:autoSpaceDE w:val="0"/>
        <w:autoSpaceDN w:val="0"/>
        <w:adjustRightInd w:val="0"/>
        <w:spacing w:after="0" w:line="240" w:lineRule="auto"/>
        <w:ind w:left="567" w:hanging="567"/>
        <w:rPr>
          <w:rFonts w:asciiTheme="minorBidi" w:hAnsiTheme="minorBidi"/>
          <w:lang w:eastAsia="zh-CN"/>
        </w:rPr>
      </w:pPr>
      <w:r>
        <w:rPr>
          <w:rFonts w:asciiTheme="minorBidi" w:hAnsiTheme="minorBidi"/>
          <w:lang w:eastAsia="zh-CN"/>
        </w:rPr>
        <w:t>T</w:t>
      </w:r>
      <w:r w:rsidRPr="00B70C74">
        <w:rPr>
          <w:rFonts w:asciiTheme="minorBidi" w:hAnsiTheme="minorBidi"/>
          <w:lang w:eastAsia="zh-CN"/>
        </w:rPr>
        <w:t xml:space="preserve">he </w:t>
      </w:r>
      <w:r w:rsidRPr="00B70C74">
        <w:rPr>
          <w:rFonts w:asciiTheme="minorBidi" w:hAnsiTheme="minorBidi"/>
          <w:color w:val="000000" w:themeColor="text1"/>
          <w:lang w:eastAsia="zh-CN"/>
        </w:rPr>
        <w:t>University Education Committee</w:t>
      </w:r>
      <w:r>
        <w:rPr>
          <w:rFonts w:asciiTheme="minorBidi" w:hAnsiTheme="minorBidi"/>
          <w:color w:val="000000" w:themeColor="text1"/>
          <w:lang w:eastAsia="zh-CN"/>
        </w:rPr>
        <w:t xml:space="preserve"> (UEC)</w:t>
      </w:r>
      <w:r w:rsidRPr="00B70C74">
        <w:rPr>
          <w:rFonts w:asciiTheme="minorBidi" w:hAnsiTheme="minorBidi"/>
          <w:lang w:eastAsia="zh-CN"/>
        </w:rPr>
        <w:t xml:space="preserve"> </w:t>
      </w:r>
      <w:r>
        <w:rPr>
          <w:rFonts w:asciiTheme="minorBidi" w:hAnsiTheme="minorBidi"/>
          <w:lang w:eastAsia="zh-CN"/>
        </w:rPr>
        <w:t xml:space="preserve">is responsible </w:t>
      </w:r>
      <w:r w:rsidR="00B074B0" w:rsidRPr="00B70C74">
        <w:rPr>
          <w:rFonts w:asciiTheme="minorBidi" w:hAnsiTheme="minorBidi"/>
          <w:lang w:eastAsia="zh-CN"/>
        </w:rPr>
        <w:t xml:space="preserve">for </w:t>
      </w:r>
      <w:r>
        <w:rPr>
          <w:rFonts w:asciiTheme="minorBidi" w:hAnsiTheme="minorBidi"/>
          <w:lang w:eastAsia="zh-CN"/>
        </w:rPr>
        <w:t>this</w:t>
      </w:r>
      <w:r w:rsidR="00B074B0" w:rsidRPr="00B70C74">
        <w:rPr>
          <w:rFonts w:asciiTheme="minorBidi" w:hAnsiTheme="minorBidi"/>
          <w:lang w:eastAsia="zh-CN"/>
        </w:rPr>
        <w:t xml:space="preserve"> </w:t>
      </w:r>
      <w:r w:rsidR="00B074B0" w:rsidRPr="00B70C74">
        <w:rPr>
          <w:rFonts w:asciiTheme="minorBidi" w:hAnsiTheme="minorBidi"/>
          <w:i/>
          <w:iCs/>
          <w:lang w:eastAsia="zh-CN"/>
        </w:rPr>
        <w:t xml:space="preserve">Code of </w:t>
      </w:r>
      <w:r w:rsidRPr="00B70C74">
        <w:rPr>
          <w:rFonts w:asciiTheme="minorBidi" w:hAnsiTheme="minorBidi"/>
          <w:i/>
          <w:iCs/>
          <w:lang w:eastAsia="zh-CN"/>
        </w:rPr>
        <w:t>p</w:t>
      </w:r>
      <w:r w:rsidR="00B074B0" w:rsidRPr="00B70C74">
        <w:rPr>
          <w:rFonts w:asciiTheme="minorBidi" w:hAnsiTheme="minorBidi"/>
          <w:i/>
          <w:iCs/>
          <w:lang w:eastAsia="zh-CN"/>
        </w:rPr>
        <w:t>ractice</w:t>
      </w:r>
      <w:r w:rsidR="00B074B0" w:rsidRPr="00B70C74">
        <w:rPr>
          <w:rFonts w:asciiTheme="minorBidi" w:hAnsiTheme="minorBidi"/>
          <w:lang w:eastAsia="zh-CN"/>
        </w:rPr>
        <w:t xml:space="preserve"> </w:t>
      </w:r>
      <w:r w:rsidR="00CB55E7">
        <w:rPr>
          <w:rFonts w:asciiTheme="minorBidi" w:hAnsiTheme="minorBidi"/>
          <w:lang w:eastAsia="zh-CN"/>
        </w:rPr>
        <w:t>that covers</w:t>
      </w:r>
      <w:r w:rsidR="00B074B0" w:rsidRPr="00B70C74">
        <w:rPr>
          <w:rFonts w:asciiTheme="minorBidi" w:hAnsiTheme="minorBidi"/>
          <w:lang w:eastAsia="zh-CN"/>
        </w:rPr>
        <w:t xml:space="preserve"> admissions </w:t>
      </w:r>
      <w:r w:rsidR="00CB55E7">
        <w:rPr>
          <w:rFonts w:asciiTheme="minorBidi" w:hAnsiTheme="minorBidi"/>
          <w:lang w:eastAsia="zh-CN"/>
        </w:rPr>
        <w:t xml:space="preserve">processes </w:t>
      </w:r>
      <w:r w:rsidR="00B074B0" w:rsidRPr="00B70C74">
        <w:rPr>
          <w:rFonts w:asciiTheme="minorBidi" w:hAnsiTheme="minorBidi"/>
          <w:lang w:eastAsia="zh-CN"/>
        </w:rPr>
        <w:t>at undergraduate level</w:t>
      </w:r>
      <w:r>
        <w:rPr>
          <w:rFonts w:asciiTheme="minorBidi" w:hAnsiTheme="minorBidi"/>
          <w:lang w:eastAsia="zh-CN"/>
        </w:rPr>
        <w:t>. UEC is reporting to each meeting of Senate</w:t>
      </w:r>
      <w:r w:rsidR="00B074B0" w:rsidRPr="00B70C74">
        <w:rPr>
          <w:rFonts w:asciiTheme="minorBidi" w:hAnsiTheme="minorBidi"/>
          <w:lang w:eastAsia="zh-CN"/>
        </w:rPr>
        <w:t xml:space="preserve">. </w:t>
      </w:r>
    </w:p>
    <w:p w14:paraId="77BA2B56" w14:textId="77777777" w:rsidR="00B074B0" w:rsidRPr="00B074B0" w:rsidRDefault="00B074B0" w:rsidP="00B074B0">
      <w:pPr>
        <w:autoSpaceDE w:val="0"/>
        <w:autoSpaceDN w:val="0"/>
        <w:adjustRightInd w:val="0"/>
        <w:spacing w:after="0" w:line="240" w:lineRule="auto"/>
        <w:rPr>
          <w:rFonts w:asciiTheme="minorBidi" w:hAnsiTheme="minorBidi"/>
          <w:lang w:eastAsia="zh-CN"/>
        </w:rPr>
      </w:pPr>
    </w:p>
    <w:p w14:paraId="3C1D819F" w14:textId="26327A21" w:rsidR="00B074B0" w:rsidRPr="00CB55E7" w:rsidRDefault="00B074B0" w:rsidP="00CB55E7">
      <w:pPr>
        <w:pStyle w:val="ListParagraph"/>
        <w:numPr>
          <w:ilvl w:val="0"/>
          <w:numId w:val="5"/>
        </w:numPr>
        <w:autoSpaceDE w:val="0"/>
        <w:autoSpaceDN w:val="0"/>
        <w:adjustRightInd w:val="0"/>
        <w:spacing w:after="0" w:line="240" w:lineRule="auto"/>
        <w:ind w:left="567" w:hanging="567"/>
        <w:rPr>
          <w:rFonts w:asciiTheme="minorBidi" w:hAnsiTheme="minorBidi"/>
          <w:color w:val="000000" w:themeColor="text1"/>
        </w:rPr>
      </w:pPr>
      <w:r w:rsidRPr="00CB55E7">
        <w:rPr>
          <w:rFonts w:asciiTheme="minorBidi" w:hAnsiTheme="minorBidi"/>
          <w:color w:val="000000" w:themeColor="text1"/>
        </w:rPr>
        <w:t>The Chief Operating Officer and Vice-Chancellor, together with the University Executive Board</w:t>
      </w:r>
      <w:r w:rsidR="00CB55E7">
        <w:rPr>
          <w:rFonts w:asciiTheme="minorBidi" w:hAnsiTheme="minorBidi"/>
          <w:color w:val="000000" w:themeColor="text1"/>
        </w:rPr>
        <w:t>,</w:t>
      </w:r>
      <w:r w:rsidRPr="00CB55E7">
        <w:rPr>
          <w:rFonts w:asciiTheme="minorBidi" w:hAnsiTheme="minorBidi"/>
          <w:color w:val="000000" w:themeColor="text1"/>
        </w:rPr>
        <w:t xml:space="preserve"> </w:t>
      </w:r>
      <w:r w:rsidR="00CB55E7">
        <w:rPr>
          <w:rFonts w:asciiTheme="minorBidi" w:hAnsiTheme="minorBidi"/>
          <w:color w:val="000000" w:themeColor="text1"/>
        </w:rPr>
        <w:t xml:space="preserve">are responsible </w:t>
      </w:r>
      <w:r w:rsidRPr="00CB55E7">
        <w:rPr>
          <w:rFonts w:asciiTheme="minorBidi" w:hAnsiTheme="minorBidi"/>
          <w:color w:val="000000" w:themeColor="text1"/>
        </w:rPr>
        <w:t>for setting the entry criteria for the admission of students</w:t>
      </w:r>
      <w:r w:rsidR="00CB55E7">
        <w:rPr>
          <w:rFonts w:asciiTheme="minorBidi" w:hAnsiTheme="minorBidi"/>
          <w:color w:val="000000" w:themeColor="text1"/>
        </w:rPr>
        <w:t>.</w:t>
      </w:r>
      <w:r w:rsidRPr="00CB55E7">
        <w:rPr>
          <w:rFonts w:asciiTheme="minorBidi" w:hAnsiTheme="minorBidi"/>
          <w:color w:val="000000" w:themeColor="text1"/>
        </w:rPr>
        <w:t xml:space="preserve"> </w:t>
      </w:r>
      <w:r w:rsidR="00CB55E7">
        <w:rPr>
          <w:rFonts w:asciiTheme="minorBidi" w:hAnsiTheme="minorBidi"/>
          <w:color w:val="000000" w:themeColor="text1"/>
        </w:rPr>
        <w:t>T</w:t>
      </w:r>
      <w:r w:rsidRPr="00CB55E7">
        <w:rPr>
          <w:rFonts w:asciiTheme="minorBidi" w:hAnsiTheme="minorBidi"/>
          <w:color w:val="000000" w:themeColor="text1"/>
        </w:rPr>
        <w:t xml:space="preserve">he minimum entry requirements for </w:t>
      </w:r>
      <w:r w:rsidR="00CB55E7">
        <w:rPr>
          <w:rFonts w:asciiTheme="minorBidi" w:hAnsiTheme="minorBidi"/>
          <w:color w:val="000000" w:themeColor="text1"/>
        </w:rPr>
        <w:t>academic programmes</w:t>
      </w:r>
      <w:r w:rsidRPr="00CB55E7">
        <w:rPr>
          <w:rFonts w:asciiTheme="minorBidi" w:hAnsiTheme="minorBidi"/>
          <w:color w:val="000000" w:themeColor="text1"/>
        </w:rPr>
        <w:t xml:space="preserve"> </w:t>
      </w:r>
      <w:r w:rsidR="00CB55E7">
        <w:rPr>
          <w:rFonts w:asciiTheme="minorBidi" w:hAnsiTheme="minorBidi"/>
          <w:color w:val="000000" w:themeColor="text1"/>
        </w:rPr>
        <w:t>are revised and confirmed on an annual basis</w:t>
      </w:r>
      <w:r w:rsidRPr="00CB55E7">
        <w:rPr>
          <w:rFonts w:asciiTheme="minorBidi" w:hAnsiTheme="minorBidi"/>
          <w:color w:val="000000" w:themeColor="text1"/>
        </w:rPr>
        <w:t xml:space="preserve">.  </w:t>
      </w:r>
    </w:p>
    <w:p w14:paraId="53028282" w14:textId="77777777" w:rsidR="00B074B0" w:rsidRPr="00B074B0" w:rsidRDefault="00B074B0" w:rsidP="00B074B0">
      <w:pPr>
        <w:spacing w:after="0" w:line="240" w:lineRule="auto"/>
        <w:rPr>
          <w:rFonts w:asciiTheme="minorBidi" w:hAnsiTheme="minorBidi"/>
          <w:b/>
          <w:color w:val="000000" w:themeColor="text1"/>
        </w:rPr>
      </w:pPr>
    </w:p>
    <w:p w14:paraId="30CC802E" w14:textId="5B3F7679" w:rsidR="00CB55E7" w:rsidRPr="00CB55E7" w:rsidRDefault="00B074B0" w:rsidP="00BD0B48">
      <w:pPr>
        <w:pStyle w:val="ListParagraph"/>
        <w:numPr>
          <w:ilvl w:val="0"/>
          <w:numId w:val="5"/>
        </w:numPr>
        <w:autoSpaceDE w:val="0"/>
        <w:autoSpaceDN w:val="0"/>
        <w:adjustRightInd w:val="0"/>
        <w:spacing w:after="0" w:line="240" w:lineRule="auto"/>
        <w:ind w:left="567" w:hanging="567"/>
        <w:rPr>
          <w:rFonts w:asciiTheme="minorBidi" w:hAnsiTheme="minorBidi"/>
          <w:lang w:eastAsia="zh-CN"/>
        </w:rPr>
      </w:pPr>
      <w:r w:rsidRPr="00CB55E7">
        <w:rPr>
          <w:rFonts w:asciiTheme="minorBidi" w:hAnsiTheme="minorBidi"/>
          <w:color w:val="000000" w:themeColor="text1"/>
        </w:rPr>
        <w:t xml:space="preserve">The role of the University of Surrey Admissions department is to ensure that policies and procedures are implemented in a fair and consistent way in line with relevant legislation and University strategy. </w:t>
      </w:r>
      <w:r w:rsidRPr="00CB55E7">
        <w:rPr>
          <w:rFonts w:asciiTheme="minorBidi" w:hAnsiTheme="minorBidi"/>
          <w:lang w:eastAsia="zh-CN"/>
        </w:rPr>
        <w:t xml:space="preserve">The </w:t>
      </w:r>
      <w:r w:rsidRPr="00CB55E7">
        <w:rPr>
          <w:rFonts w:asciiTheme="minorBidi" w:hAnsiTheme="minorBidi"/>
          <w:bCs/>
          <w:lang w:eastAsia="zh-CN"/>
        </w:rPr>
        <w:t xml:space="preserve">Admissions department </w:t>
      </w:r>
      <w:r w:rsidRPr="00CB55E7">
        <w:rPr>
          <w:rFonts w:asciiTheme="minorBidi" w:hAnsiTheme="minorBidi"/>
          <w:lang w:eastAsia="zh-CN"/>
        </w:rPr>
        <w:t xml:space="preserve">make decisions on individual applications for most programmes, applying established criteria. </w:t>
      </w:r>
    </w:p>
    <w:p w14:paraId="305E2BF8" w14:textId="77777777" w:rsidR="00CB55E7" w:rsidRPr="00CB55E7" w:rsidRDefault="00CB55E7" w:rsidP="00CB55E7">
      <w:pPr>
        <w:pStyle w:val="ListParagraph"/>
        <w:rPr>
          <w:rFonts w:asciiTheme="minorBidi" w:hAnsiTheme="minorBidi"/>
          <w:bCs/>
          <w:lang w:eastAsia="zh-CN"/>
        </w:rPr>
      </w:pPr>
    </w:p>
    <w:p w14:paraId="023E6AB7" w14:textId="12B47A82" w:rsidR="00B074B0" w:rsidRPr="00CB55E7" w:rsidRDefault="00B074B0" w:rsidP="00CB55E7">
      <w:pPr>
        <w:pStyle w:val="ListParagraph"/>
        <w:numPr>
          <w:ilvl w:val="0"/>
          <w:numId w:val="5"/>
        </w:numPr>
        <w:autoSpaceDE w:val="0"/>
        <w:autoSpaceDN w:val="0"/>
        <w:adjustRightInd w:val="0"/>
        <w:spacing w:after="0" w:line="240" w:lineRule="auto"/>
        <w:ind w:left="567" w:hanging="567"/>
        <w:rPr>
          <w:rFonts w:asciiTheme="minorBidi" w:hAnsiTheme="minorBidi"/>
          <w:lang w:eastAsia="zh-CN"/>
        </w:rPr>
      </w:pPr>
      <w:r w:rsidRPr="00CB55E7">
        <w:rPr>
          <w:rFonts w:asciiTheme="minorBidi" w:hAnsiTheme="minorBidi"/>
          <w:bCs/>
          <w:lang w:eastAsia="zh-CN"/>
        </w:rPr>
        <w:t xml:space="preserve">Admissions Tutors </w:t>
      </w:r>
      <w:r w:rsidRPr="00CB55E7">
        <w:rPr>
          <w:rFonts w:asciiTheme="minorBidi" w:hAnsiTheme="minorBidi"/>
          <w:lang w:eastAsia="zh-CN"/>
        </w:rPr>
        <w:t xml:space="preserve">make decisions on individual applications in cases where these decisions cannot be made by the Admissions department. </w:t>
      </w:r>
    </w:p>
    <w:p w14:paraId="4C94E89C" w14:textId="77777777" w:rsidR="00B074B0" w:rsidRPr="00F20014" w:rsidRDefault="00B074B0" w:rsidP="00B074B0">
      <w:pPr>
        <w:autoSpaceDE w:val="0"/>
        <w:autoSpaceDN w:val="0"/>
        <w:adjustRightInd w:val="0"/>
        <w:spacing w:after="0" w:line="240" w:lineRule="auto"/>
        <w:rPr>
          <w:color w:val="000000" w:themeColor="text1"/>
        </w:rPr>
      </w:pPr>
    </w:p>
    <w:p w14:paraId="36581631" w14:textId="05766AD6" w:rsidR="00F5134C" w:rsidRPr="00CB55E7" w:rsidRDefault="00F5134C" w:rsidP="00CB55E7">
      <w:pPr>
        <w:pStyle w:val="Heading1"/>
        <w:ind w:left="567"/>
      </w:pPr>
      <w:bookmarkStart w:id="7" w:name="_Toc115084520"/>
      <w:bookmarkStart w:id="8" w:name="_Toc111112132"/>
      <w:bookmarkEnd w:id="6"/>
      <w:r w:rsidRPr="00CB55E7">
        <w:t>Admissions criteria and selection principles</w:t>
      </w:r>
      <w:bookmarkEnd w:id="7"/>
    </w:p>
    <w:p w14:paraId="6C58328F" w14:textId="0DEB1CFC" w:rsidR="00F5134C" w:rsidRPr="00CB55E7" w:rsidRDefault="00CB55E7" w:rsidP="008E3642">
      <w:pPr>
        <w:pStyle w:val="ListParagraph"/>
        <w:numPr>
          <w:ilvl w:val="0"/>
          <w:numId w:val="5"/>
        </w:numPr>
        <w:autoSpaceDE w:val="0"/>
        <w:autoSpaceDN w:val="0"/>
        <w:adjustRightInd w:val="0"/>
        <w:spacing w:after="0" w:line="240" w:lineRule="auto"/>
        <w:ind w:left="567" w:hanging="567"/>
        <w:rPr>
          <w:rFonts w:asciiTheme="minorBidi" w:hAnsiTheme="minorBidi"/>
          <w:color w:val="000000"/>
          <w:lang w:eastAsia="zh-CN"/>
        </w:rPr>
      </w:pPr>
      <w:r>
        <w:rPr>
          <w:rFonts w:asciiTheme="minorBidi" w:hAnsiTheme="minorBidi"/>
          <w:lang w:eastAsia="zh-CN"/>
        </w:rPr>
        <w:t>E</w:t>
      </w:r>
      <w:r w:rsidR="00F5134C" w:rsidRPr="00CB55E7">
        <w:rPr>
          <w:rFonts w:asciiTheme="minorBidi" w:hAnsiTheme="minorBidi"/>
          <w:lang w:eastAsia="zh-CN"/>
        </w:rPr>
        <w:t xml:space="preserve">ntry requirements </w:t>
      </w:r>
      <w:r>
        <w:rPr>
          <w:rFonts w:asciiTheme="minorBidi" w:hAnsiTheme="minorBidi"/>
          <w:lang w:eastAsia="zh-CN"/>
        </w:rPr>
        <w:t xml:space="preserve">are updated </w:t>
      </w:r>
      <w:r w:rsidR="00F5134C" w:rsidRPr="00CB55E7">
        <w:rPr>
          <w:rFonts w:asciiTheme="minorBidi" w:hAnsiTheme="minorBidi"/>
          <w:lang w:eastAsia="zh-CN"/>
        </w:rPr>
        <w:t>on an annual basis in light of changing academic requirements</w:t>
      </w:r>
      <w:r>
        <w:rPr>
          <w:rFonts w:asciiTheme="minorBidi" w:hAnsiTheme="minorBidi"/>
          <w:lang w:eastAsia="zh-CN"/>
        </w:rPr>
        <w:t>, in a timely fashion</w:t>
      </w:r>
      <w:r w:rsidR="00F5134C" w:rsidRPr="00CB55E7">
        <w:rPr>
          <w:rFonts w:asciiTheme="minorBidi" w:hAnsiTheme="minorBidi"/>
          <w:lang w:eastAsia="zh-CN"/>
        </w:rPr>
        <w:t xml:space="preserve">. </w:t>
      </w:r>
      <w:r>
        <w:rPr>
          <w:rFonts w:asciiTheme="minorBidi" w:hAnsiTheme="minorBidi"/>
          <w:lang w:eastAsia="zh-CN"/>
        </w:rPr>
        <w:t xml:space="preserve">Rarely, some exceptional late changes to the </w:t>
      </w:r>
      <w:r w:rsidRPr="00CB55E7">
        <w:rPr>
          <w:rFonts w:asciiTheme="minorBidi" w:hAnsiTheme="minorBidi"/>
          <w:color w:val="000000"/>
          <w:lang w:eastAsia="zh-CN"/>
        </w:rPr>
        <w:t xml:space="preserve">entry requirements </w:t>
      </w:r>
      <w:r>
        <w:rPr>
          <w:rFonts w:asciiTheme="minorBidi" w:hAnsiTheme="minorBidi"/>
          <w:lang w:eastAsia="zh-CN"/>
        </w:rPr>
        <w:t>may be applied after the University</w:t>
      </w:r>
      <w:r w:rsidR="00F5134C" w:rsidRPr="00CB55E7">
        <w:rPr>
          <w:rFonts w:asciiTheme="minorBidi" w:hAnsiTheme="minorBidi"/>
          <w:color w:val="000000"/>
          <w:lang w:eastAsia="zh-CN"/>
        </w:rPr>
        <w:t xml:space="preserve"> prospectus has been printed</w:t>
      </w:r>
      <w:r>
        <w:rPr>
          <w:rFonts w:asciiTheme="minorBidi" w:hAnsiTheme="minorBidi"/>
          <w:color w:val="000000"/>
          <w:lang w:eastAsia="zh-CN"/>
        </w:rPr>
        <w:t xml:space="preserve">. </w:t>
      </w:r>
      <w:r w:rsidR="00F5134C" w:rsidRPr="00CB55E7">
        <w:rPr>
          <w:rFonts w:asciiTheme="minorBidi" w:hAnsiTheme="minorBidi"/>
          <w:color w:val="000000"/>
          <w:lang w:eastAsia="zh-CN"/>
        </w:rPr>
        <w:t xml:space="preserve">This means that sometimes </w:t>
      </w:r>
      <w:r>
        <w:rPr>
          <w:rFonts w:asciiTheme="minorBidi" w:hAnsiTheme="minorBidi"/>
          <w:color w:val="000000"/>
          <w:lang w:eastAsia="zh-CN"/>
        </w:rPr>
        <w:t>these</w:t>
      </w:r>
      <w:r w:rsidR="00F5134C" w:rsidRPr="00CB55E7">
        <w:rPr>
          <w:rFonts w:asciiTheme="minorBidi" w:hAnsiTheme="minorBidi"/>
          <w:color w:val="000000"/>
          <w:lang w:eastAsia="zh-CN"/>
        </w:rPr>
        <w:t xml:space="preserve"> requirements do not reflect the information published in the hard copy of </w:t>
      </w:r>
      <w:r>
        <w:rPr>
          <w:rFonts w:asciiTheme="minorBidi" w:hAnsiTheme="minorBidi"/>
          <w:color w:val="000000"/>
          <w:lang w:eastAsia="zh-CN"/>
        </w:rPr>
        <w:t>the</w:t>
      </w:r>
      <w:r w:rsidR="00F5134C" w:rsidRPr="00CB55E7">
        <w:rPr>
          <w:rFonts w:asciiTheme="minorBidi" w:hAnsiTheme="minorBidi"/>
          <w:color w:val="000000"/>
          <w:lang w:eastAsia="zh-CN"/>
        </w:rPr>
        <w:t xml:space="preserve"> undergraduate prospectus. </w:t>
      </w:r>
      <w:r>
        <w:rPr>
          <w:rFonts w:asciiTheme="minorBidi" w:hAnsiTheme="minorBidi"/>
          <w:color w:val="000000"/>
          <w:lang w:eastAsia="zh-CN"/>
        </w:rPr>
        <w:t>The University</w:t>
      </w:r>
      <w:r w:rsidRPr="00CB55E7">
        <w:rPr>
          <w:rFonts w:asciiTheme="minorBidi" w:hAnsiTheme="minorBidi"/>
          <w:color w:val="000000"/>
          <w:lang w:eastAsia="zh-CN"/>
        </w:rPr>
        <w:t xml:space="preserve"> </w:t>
      </w:r>
      <w:r>
        <w:rPr>
          <w:rFonts w:asciiTheme="minorBidi" w:hAnsiTheme="minorBidi"/>
          <w:color w:val="000000"/>
          <w:lang w:eastAsia="zh-CN"/>
        </w:rPr>
        <w:t>strongly</w:t>
      </w:r>
      <w:r w:rsidR="00F5134C" w:rsidRPr="00CB55E7">
        <w:rPr>
          <w:rFonts w:asciiTheme="minorBidi" w:hAnsiTheme="minorBidi"/>
          <w:color w:val="000000"/>
          <w:lang w:eastAsia="zh-CN"/>
        </w:rPr>
        <w:t xml:space="preserve"> recommend</w:t>
      </w:r>
      <w:r>
        <w:rPr>
          <w:rFonts w:asciiTheme="minorBidi" w:hAnsiTheme="minorBidi"/>
          <w:color w:val="000000"/>
          <w:lang w:eastAsia="zh-CN"/>
        </w:rPr>
        <w:t>s</w:t>
      </w:r>
      <w:r w:rsidR="00F5134C" w:rsidRPr="00CB55E7">
        <w:rPr>
          <w:rFonts w:asciiTheme="minorBidi" w:hAnsiTheme="minorBidi"/>
          <w:color w:val="000000"/>
          <w:lang w:eastAsia="zh-CN"/>
        </w:rPr>
        <w:t xml:space="preserve"> that applicants look at the information in the course listings on </w:t>
      </w:r>
      <w:r w:rsidR="007C7EB9">
        <w:rPr>
          <w:rFonts w:asciiTheme="minorBidi" w:hAnsiTheme="minorBidi"/>
          <w:color w:val="000000"/>
          <w:lang w:eastAsia="zh-CN"/>
        </w:rPr>
        <w:t>the University of Surrey</w:t>
      </w:r>
      <w:r w:rsidR="00F5134C" w:rsidRPr="00CB55E7">
        <w:rPr>
          <w:rFonts w:asciiTheme="minorBidi" w:hAnsiTheme="minorBidi"/>
          <w:color w:val="000000"/>
          <w:lang w:eastAsia="zh-CN"/>
        </w:rPr>
        <w:t xml:space="preserve"> online programme pages as the source of the most up</w:t>
      </w:r>
      <w:r w:rsidR="00F5134C" w:rsidRPr="00CB55E7">
        <w:rPr>
          <w:rFonts w:ascii="Cambria Math" w:hAnsi="Cambria Math" w:cs="Cambria Math"/>
          <w:color w:val="000000"/>
          <w:lang w:eastAsia="zh-CN"/>
        </w:rPr>
        <w:t>‐</w:t>
      </w:r>
      <w:r w:rsidR="00F5134C" w:rsidRPr="00CB55E7">
        <w:rPr>
          <w:rFonts w:asciiTheme="minorBidi" w:hAnsiTheme="minorBidi"/>
          <w:color w:val="000000"/>
          <w:lang w:eastAsia="zh-CN"/>
        </w:rPr>
        <w:t>to</w:t>
      </w:r>
      <w:r w:rsidR="00F5134C" w:rsidRPr="00CB55E7">
        <w:rPr>
          <w:rFonts w:ascii="Cambria Math" w:hAnsi="Cambria Math" w:cs="Cambria Math"/>
          <w:color w:val="000000"/>
          <w:lang w:eastAsia="zh-CN"/>
        </w:rPr>
        <w:t>‐</w:t>
      </w:r>
      <w:r w:rsidR="00F5134C" w:rsidRPr="00CB55E7">
        <w:rPr>
          <w:rFonts w:asciiTheme="minorBidi" w:hAnsiTheme="minorBidi"/>
          <w:color w:val="000000"/>
          <w:lang w:eastAsia="zh-CN"/>
        </w:rPr>
        <w:t xml:space="preserve">date information. </w:t>
      </w:r>
      <w:r w:rsidR="007C7EB9">
        <w:rPr>
          <w:rFonts w:asciiTheme="minorBidi" w:hAnsiTheme="minorBidi"/>
          <w:color w:val="000000"/>
          <w:lang w:eastAsia="zh-CN"/>
        </w:rPr>
        <w:t>The University of Surrey</w:t>
      </w:r>
      <w:r w:rsidR="00F5134C" w:rsidRPr="00CB55E7">
        <w:rPr>
          <w:rFonts w:asciiTheme="minorBidi" w:hAnsiTheme="minorBidi"/>
          <w:color w:val="000000"/>
          <w:lang w:eastAsia="zh-CN"/>
        </w:rPr>
        <w:t xml:space="preserve"> academic entry requirements are also published on the </w:t>
      </w:r>
      <w:hyperlink r:id="rId21" w:history="1">
        <w:r w:rsidR="00F5134C" w:rsidRPr="00CB55E7">
          <w:rPr>
            <w:rStyle w:val="Hyperlink"/>
            <w:rFonts w:asciiTheme="minorBidi" w:hAnsiTheme="minorBidi"/>
            <w:lang w:eastAsia="zh-CN"/>
          </w:rPr>
          <w:t>UCAS website</w:t>
        </w:r>
      </w:hyperlink>
      <w:r w:rsidR="00F5134C" w:rsidRPr="00CB55E7">
        <w:rPr>
          <w:rFonts w:asciiTheme="minorBidi" w:hAnsiTheme="minorBidi"/>
          <w:color w:val="000000"/>
          <w:lang w:eastAsia="zh-CN"/>
        </w:rPr>
        <w:t>.</w:t>
      </w:r>
    </w:p>
    <w:p w14:paraId="0E989336" w14:textId="77777777" w:rsidR="00F5134C" w:rsidRPr="00F5134C" w:rsidRDefault="00F5134C" w:rsidP="008E3642">
      <w:pPr>
        <w:spacing w:after="0" w:line="240" w:lineRule="auto"/>
        <w:ind w:left="567" w:hanging="567"/>
        <w:rPr>
          <w:rFonts w:asciiTheme="minorBidi" w:hAnsiTheme="minorBidi"/>
          <w:color w:val="000000" w:themeColor="text1"/>
        </w:rPr>
      </w:pPr>
    </w:p>
    <w:p w14:paraId="0E542A74" w14:textId="0B06B03D" w:rsidR="00F5134C" w:rsidRPr="008E3642" w:rsidRDefault="001D5952" w:rsidP="008E3642">
      <w:pPr>
        <w:pStyle w:val="ListParagraph"/>
        <w:numPr>
          <w:ilvl w:val="0"/>
          <w:numId w:val="5"/>
        </w:numPr>
        <w:spacing w:after="0" w:line="240" w:lineRule="auto"/>
        <w:ind w:left="567" w:hanging="567"/>
        <w:rPr>
          <w:rFonts w:asciiTheme="minorBidi" w:hAnsiTheme="minorBidi"/>
          <w:color w:val="000000" w:themeColor="text1"/>
        </w:rPr>
      </w:pPr>
      <w:r>
        <w:rPr>
          <w:rFonts w:asciiTheme="minorBidi" w:hAnsiTheme="minorBidi"/>
          <w:color w:val="000000" w:themeColor="text1"/>
        </w:rPr>
        <w:t xml:space="preserve">The University </w:t>
      </w:r>
      <w:r w:rsidR="00F5134C" w:rsidRPr="008E3642">
        <w:rPr>
          <w:rFonts w:asciiTheme="minorBidi" w:hAnsiTheme="minorBidi"/>
          <w:color w:val="000000" w:themeColor="text1"/>
        </w:rPr>
        <w:t>aim</w:t>
      </w:r>
      <w:r>
        <w:rPr>
          <w:rFonts w:asciiTheme="minorBidi" w:hAnsiTheme="minorBidi"/>
          <w:color w:val="000000" w:themeColor="text1"/>
        </w:rPr>
        <w:t>s</w:t>
      </w:r>
      <w:r w:rsidR="00F5134C" w:rsidRPr="008E3642">
        <w:rPr>
          <w:rFonts w:asciiTheme="minorBidi" w:hAnsiTheme="minorBidi"/>
          <w:color w:val="000000" w:themeColor="text1"/>
        </w:rPr>
        <w:t xml:space="preserve"> to select those applicants who are likely to succeed academically and benefit from </w:t>
      </w:r>
      <w:r>
        <w:rPr>
          <w:rFonts w:asciiTheme="minorBidi" w:hAnsiTheme="minorBidi"/>
          <w:color w:val="000000" w:themeColor="text1"/>
        </w:rPr>
        <w:t xml:space="preserve">its academic </w:t>
      </w:r>
      <w:r w:rsidR="00F5134C" w:rsidRPr="008E3642">
        <w:rPr>
          <w:rFonts w:asciiTheme="minorBidi" w:hAnsiTheme="minorBidi"/>
          <w:color w:val="000000" w:themeColor="text1"/>
        </w:rPr>
        <w:t>programmes. Aptitude for an individual programme is the primary criterion for selection and an academic decision will always be reached on an application before other factors such as criminal convictions are taken into account.</w:t>
      </w:r>
    </w:p>
    <w:p w14:paraId="4DED6195" w14:textId="77777777" w:rsidR="00F5134C" w:rsidRPr="00F5134C" w:rsidRDefault="00F5134C" w:rsidP="00F5134C">
      <w:pPr>
        <w:spacing w:after="0" w:line="240" w:lineRule="auto"/>
        <w:rPr>
          <w:rFonts w:asciiTheme="minorBidi" w:hAnsiTheme="minorBidi"/>
          <w:color w:val="000000" w:themeColor="text1"/>
        </w:rPr>
      </w:pPr>
    </w:p>
    <w:p w14:paraId="26C568DF" w14:textId="71B9E074" w:rsidR="00F5134C" w:rsidRPr="004D570A" w:rsidRDefault="001D5952" w:rsidP="009D3B83">
      <w:pPr>
        <w:pStyle w:val="ListParagraph"/>
        <w:numPr>
          <w:ilvl w:val="0"/>
          <w:numId w:val="5"/>
        </w:numPr>
        <w:spacing w:after="0" w:line="240" w:lineRule="auto"/>
        <w:ind w:left="0" w:firstLine="0"/>
        <w:rPr>
          <w:rFonts w:asciiTheme="minorBidi" w:hAnsiTheme="minorBidi"/>
          <w:color w:val="000000" w:themeColor="text1"/>
        </w:rPr>
      </w:pPr>
      <w:r>
        <w:rPr>
          <w:rFonts w:asciiTheme="minorBidi" w:hAnsiTheme="minorBidi"/>
          <w:color w:val="000000" w:themeColor="text1"/>
        </w:rPr>
        <w:t>The</w:t>
      </w:r>
      <w:r w:rsidR="00F5134C" w:rsidRPr="004D570A">
        <w:rPr>
          <w:rFonts w:asciiTheme="minorBidi" w:hAnsiTheme="minorBidi"/>
          <w:color w:val="000000" w:themeColor="text1"/>
        </w:rPr>
        <w:t xml:space="preserve"> selection criteria and process ensure the following:</w:t>
      </w:r>
    </w:p>
    <w:p w14:paraId="7E550162" w14:textId="77777777" w:rsidR="00F5134C" w:rsidRPr="00F5134C" w:rsidRDefault="00F5134C" w:rsidP="00F5134C">
      <w:pPr>
        <w:spacing w:after="0" w:line="240" w:lineRule="auto"/>
        <w:rPr>
          <w:rFonts w:asciiTheme="minorBidi" w:hAnsiTheme="minorBidi"/>
          <w:color w:val="000000" w:themeColor="text1"/>
        </w:rPr>
      </w:pPr>
    </w:p>
    <w:p w14:paraId="1E230CA8" w14:textId="77777777" w:rsidR="00F5134C" w:rsidRPr="00F5134C" w:rsidRDefault="00F5134C" w:rsidP="001D5952">
      <w:pPr>
        <w:pStyle w:val="ListParagraph"/>
        <w:numPr>
          <w:ilvl w:val="0"/>
          <w:numId w:val="7"/>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Decisions are fair and consistent in relation to the published entry criteria</w:t>
      </w:r>
    </w:p>
    <w:p w14:paraId="41A94CD7" w14:textId="77777777" w:rsidR="00F5134C" w:rsidRPr="00F5134C" w:rsidRDefault="00F5134C" w:rsidP="001D5952">
      <w:pPr>
        <w:pStyle w:val="ListParagraph"/>
        <w:numPr>
          <w:ilvl w:val="0"/>
          <w:numId w:val="7"/>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Evidence of a candidate’s potential to succeed on the programme is taken into account</w:t>
      </w:r>
    </w:p>
    <w:p w14:paraId="16F5BCB5" w14:textId="77777777" w:rsidR="00F5134C" w:rsidRPr="00F5134C" w:rsidRDefault="00F5134C" w:rsidP="001D5952">
      <w:pPr>
        <w:pStyle w:val="ListParagraph"/>
        <w:numPr>
          <w:ilvl w:val="0"/>
          <w:numId w:val="7"/>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lastRenderedPageBreak/>
        <w:t>Where appropriate, Admissions staff may consider contextual factors in relation to an application</w:t>
      </w:r>
    </w:p>
    <w:p w14:paraId="6C55351B" w14:textId="77777777" w:rsidR="00F5134C" w:rsidRPr="00F5134C" w:rsidRDefault="00F5134C" w:rsidP="001D5952">
      <w:pPr>
        <w:pStyle w:val="ListParagraph"/>
        <w:numPr>
          <w:ilvl w:val="0"/>
          <w:numId w:val="7"/>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We operate a transparent selection process. Selection may be on the basis of an application form (with or without additional required written work or a portfolio) or on application form plus audition/interview. Where interviews or auditions form part of the selection process, candidates will be informed of the process in advance</w:t>
      </w:r>
    </w:p>
    <w:p w14:paraId="1BE34658" w14:textId="77777777" w:rsidR="00F5134C" w:rsidRPr="00F5134C" w:rsidRDefault="00F5134C" w:rsidP="001D5952">
      <w:pPr>
        <w:pStyle w:val="ListParagraph"/>
        <w:numPr>
          <w:ilvl w:val="0"/>
          <w:numId w:val="7"/>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We communicate outcomes to the applicant in a timely way. The University will communicate via email and Surrey Self-Service and, where applicable, via UCAS</w:t>
      </w:r>
    </w:p>
    <w:p w14:paraId="790E696B" w14:textId="77777777" w:rsidR="00F5134C" w:rsidRPr="00F5134C" w:rsidRDefault="00F5134C" w:rsidP="00F5134C">
      <w:pPr>
        <w:spacing w:after="0" w:line="240" w:lineRule="auto"/>
        <w:rPr>
          <w:rFonts w:asciiTheme="minorBidi" w:hAnsiTheme="minorBidi"/>
          <w:color w:val="000000" w:themeColor="text1"/>
        </w:rPr>
      </w:pPr>
    </w:p>
    <w:p w14:paraId="38EF2AB4" w14:textId="586908A1" w:rsidR="00F5134C" w:rsidRPr="004D570A" w:rsidRDefault="001D5952" w:rsidP="009D3B83">
      <w:pPr>
        <w:pStyle w:val="ListParagraph"/>
        <w:numPr>
          <w:ilvl w:val="0"/>
          <w:numId w:val="5"/>
        </w:numPr>
        <w:spacing w:after="0" w:line="240" w:lineRule="auto"/>
        <w:ind w:left="709" w:hanging="709"/>
        <w:rPr>
          <w:rFonts w:asciiTheme="minorBidi" w:hAnsiTheme="minorBidi"/>
          <w:color w:val="000000" w:themeColor="text1"/>
        </w:rPr>
      </w:pPr>
      <w:r>
        <w:rPr>
          <w:rFonts w:asciiTheme="minorBidi" w:hAnsiTheme="minorBidi"/>
        </w:rPr>
        <w:t>All applicants are</w:t>
      </w:r>
      <w:r w:rsidR="00F5134C" w:rsidRPr="004D570A">
        <w:rPr>
          <w:rFonts w:asciiTheme="minorBidi" w:hAnsiTheme="minorBidi"/>
        </w:rPr>
        <w:t xml:space="preserve"> require</w:t>
      </w:r>
      <w:r>
        <w:rPr>
          <w:rFonts w:asciiTheme="minorBidi" w:hAnsiTheme="minorBidi"/>
        </w:rPr>
        <w:t>d to submit</w:t>
      </w:r>
      <w:r w:rsidR="00F5134C" w:rsidRPr="004D570A">
        <w:rPr>
          <w:rFonts w:asciiTheme="minorBidi" w:hAnsiTheme="minorBidi"/>
        </w:rPr>
        <w:t xml:space="preserve"> official documentation to fulfil </w:t>
      </w:r>
      <w:r>
        <w:rPr>
          <w:rFonts w:asciiTheme="minorBidi" w:hAnsiTheme="minorBidi"/>
        </w:rPr>
        <w:t>the</w:t>
      </w:r>
      <w:r w:rsidR="00F5134C" w:rsidRPr="004D570A">
        <w:rPr>
          <w:rFonts w:asciiTheme="minorBidi" w:hAnsiTheme="minorBidi"/>
        </w:rPr>
        <w:t xml:space="preserve"> entry criteria</w:t>
      </w:r>
      <w:r w:rsidR="00E74CBF">
        <w:rPr>
          <w:rFonts w:asciiTheme="minorBidi" w:hAnsiTheme="minorBidi"/>
        </w:rPr>
        <w:t>;</w:t>
      </w:r>
      <w:r w:rsidR="00F5134C" w:rsidRPr="004D570A">
        <w:rPr>
          <w:rFonts w:asciiTheme="minorBidi" w:hAnsiTheme="minorBidi"/>
        </w:rPr>
        <w:t xml:space="preserve"> this will include official translations into English.</w:t>
      </w:r>
    </w:p>
    <w:p w14:paraId="4A46068B" w14:textId="77777777" w:rsidR="00F5134C" w:rsidRPr="00F5134C" w:rsidRDefault="00F5134C" w:rsidP="00F5134C">
      <w:pPr>
        <w:spacing w:after="0" w:line="240" w:lineRule="auto"/>
        <w:rPr>
          <w:rFonts w:asciiTheme="minorBidi" w:hAnsiTheme="minorBidi"/>
          <w:color w:val="000000" w:themeColor="text1"/>
        </w:rPr>
      </w:pPr>
    </w:p>
    <w:p w14:paraId="7B75E373" w14:textId="77777777" w:rsidR="00F5134C" w:rsidRPr="004D570A" w:rsidRDefault="00F5134C" w:rsidP="00B64A53">
      <w:pPr>
        <w:pStyle w:val="ListParagraph"/>
        <w:numPr>
          <w:ilvl w:val="0"/>
          <w:numId w:val="5"/>
        </w:numPr>
        <w:spacing w:after="0" w:line="240" w:lineRule="auto"/>
        <w:ind w:hanging="720"/>
        <w:rPr>
          <w:rFonts w:asciiTheme="minorBidi" w:hAnsiTheme="minorBidi"/>
          <w:color w:val="000000" w:themeColor="text1"/>
        </w:rPr>
      </w:pPr>
      <w:r w:rsidRPr="004D570A">
        <w:rPr>
          <w:rFonts w:asciiTheme="minorBidi" w:hAnsiTheme="minorBidi"/>
          <w:color w:val="000000" w:themeColor="text1"/>
        </w:rPr>
        <w:t>Before applying applicants should consider the following points:</w:t>
      </w:r>
    </w:p>
    <w:p w14:paraId="74A3B4A0" w14:textId="77777777" w:rsidR="00F5134C" w:rsidRPr="00F5134C" w:rsidRDefault="00F5134C" w:rsidP="00F5134C">
      <w:pPr>
        <w:spacing w:after="0" w:line="240" w:lineRule="auto"/>
        <w:rPr>
          <w:rFonts w:asciiTheme="minorBidi" w:hAnsiTheme="minorBidi"/>
          <w:color w:val="000000" w:themeColor="text1"/>
        </w:rPr>
      </w:pPr>
    </w:p>
    <w:p w14:paraId="47555616" w14:textId="77777777" w:rsidR="00F5134C" w:rsidRPr="00F5134C" w:rsidRDefault="00F5134C" w:rsidP="001D5952">
      <w:pPr>
        <w:pStyle w:val="ListParagraph"/>
        <w:numPr>
          <w:ilvl w:val="0"/>
          <w:numId w:val="6"/>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The details of programme-specific entry criteria on the programme pages of the University website and on the UCAS website</w:t>
      </w:r>
    </w:p>
    <w:p w14:paraId="2FD45C7D" w14:textId="50B962B7" w:rsidR="00F5134C" w:rsidRPr="00F5134C" w:rsidRDefault="00F5134C" w:rsidP="001D5952">
      <w:pPr>
        <w:pStyle w:val="ListParagraph"/>
        <w:numPr>
          <w:ilvl w:val="0"/>
          <w:numId w:val="6"/>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Prior to entry, minimum levels must be obtained in GCSE (or equivalent) qualifications in English Language, Mathematics and</w:t>
      </w:r>
      <w:r w:rsidR="00E74CBF">
        <w:rPr>
          <w:rFonts w:asciiTheme="minorBidi" w:hAnsiTheme="minorBidi"/>
          <w:color w:val="000000" w:themeColor="text1"/>
        </w:rPr>
        <w:t>,</w:t>
      </w:r>
      <w:r w:rsidRPr="00F5134C">
        <w:rPr>
          <w:rFonts w:asciiTheme="minorBidi" w:hAnsiTheme="minorBidi"/>
          <w:color w:val="000000" w:themeColor="text1"/>
        </w:rPr>
        <w:t xml:space="preserve"> in some cases</w:t>
      </w:r>
      <w:r w:rsidR="00E74CBF">
        <w:rPr>
          <w:rFonts w:asciiTheme="minorBidi" w:hAnsiTheme="minorBidi"/>
          <w:color w:val="000000" w:themeColor="text1"/>
        </w:rPr>
        <w:t>,</w:t>
      </w:r>
      <w:r w:rsidRPr="00F5134C">
        <w:rPr>
          <w:rFonts w:asciiTheme="minorBidi" w:hAnsiTheme="minorBidi"/>
          <w:color w:val="000000" w:themeColor="text1"/>
        </w:rPr>
        <w:t xml:space="preserve"> Science. The details of these requirements are published on the programme pages of the University website</w:t>
      </w:r>
    </w:p>
    <w:p w14:paraId="00ED00BB" w14:textId="77777777" w:rsidR="00F5134C" w:rsidRPr="00F5134C" w:rsidRDefault="00F5134C" w:rsidP="001D5952">
      <w:pPr>
        <w:pStyle w:val="ListParagraph"/>
        <w:numPr>
          <w:ilvl w:val="0"/>
          <w:numId w:val="6"/>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 xml:space="preserve">Applicants must provide evidence that they possess at least the minimum level of English Language proficiency as set by the University Education Committee and the Senior Leadership Team for Marketing, Recruitment and Admissions.  Details of the English Language requirements are published on the programme pages of the University website. </w:t>
      </w:r>
    </w:p>
    <w:p w14:paraId="1F41A6D4" w14:textId="6FFFABBF" w:rsidR="00F5134C" w:rsidRPr="00F5134C" w:rsidRDefault="00F5134C" w:rsidP="001D5952">
      <w:pPr>
        <w:pStyle w:val="ListParagraph"/>
        <w:numPr>
          <w:ilvl w:val="0"/>
          <w:numId w:val="6"/>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 xml:space="preserve">Applicants who have non-standard qualifications or have work experience they wish to have assessed may be considered on an individual basis in line with the general aims and principles of the Admissions and </w:t>
      </w:r>
      <w:hyperlink r:id="rId22" w:history="1">
        <w:r w:rsidRPr="001D5952">
          <w:rPr>
            <w:rStyle w:val="Hyperlink"/>
            <w:rFonts w:asciiTheme="minorBidi" w:hAnsiTheme="minorBidi"/>
            <w:i/>
            <w:iCs/>
          </w:rPr>
          <w:t>RPL/RPC policies</w:t>
        </w:r>
      </w:hyperlink>
      <w:r w:rsidRPr="00F5134C">
        <w:rPr>
          <w:rFonts w:asciiTheme="minorBidi" w:hAnsiTheme="minorBidi"/>
          <w:color w:val="000000" w:themeColor="text1"/>
        </w:rPr>
        <w:t xml:space="preserve"> (Recognition of prior learning or credit). For further details please refer to the </w:t>
      </w:r>
      <w:hyperlink r:id="rId23" w:history="1">
        <w:r w:rsidRPr="001D5952">
          <w:rPr>
            <w:rStyle w:val="Hyperlink"/>
            <w:rFonts w:asciiTheme="minorBidi" w:hAnsiTheme="minorBidi"/>
            <w:i/>
            <w:iCs/>
          </w:rPr>
          <w:t>Code of practice for the recognition of prior learning and prior credit: taught programmes</w:t>
        </w:r>
      </w:hyperlink>
      <w:r w:rsidRPr="00F5134C">
        <w:rPr>
          <w:rStyle w:val="Hyperlink"/>
          <w:rFonts w:asciiTheme="minorBidi" w:hAnsiTheme="minorBidi"/>
          <w:color w:val="000000" w:themeColor="text1"/>
        </w:rPr>
        <w:t xml:space="preserve"> </w:t>
      </w:r>
    </w:p>
    <w:p w14:paraId="74721BEE" w14:textId="4A6101FB" w:rsidR="00F5134C" w:rsidRPr="004D570A" w:rsidRDefault="00F5134C" w:rsidP="001D5952">
      <w:pPr>
        <w:pStyle w:val="ListParagraph"/>
        <w:numPr>
          <w:ilvl w:val="0"/>
          <w:numId w:val="6"/>
        </w:numPr>
        <w:spacing w:after="0" w:line="240" w:lineRule="auto"/>
        <w:ind w:left="1134" w:hanging="425"/>
        <w:rPr>
          <w:rFonts w:asciiTheme="minorBidi" w:hAnsiTheme="minorBidi"/>
          <w:color w:val="000000" w:themeColor="text1"/>
        </w:rPr>
      </w:pPr>
      <w:r w:rsidRPr="00F5134C">
        <w:rPr>
          <w:rFonts w:asciiTheme="minorBidi" w:hAnsiTheme="minorBidi"/>
          <w:color w:val="000000" w:themeColor="text1"/>
        </w:rPr>
        <w:t>Entry onto some programmes of study requires applicants to meet additional non-academic conditions. These conditions usually apply to programmes that have professional requirements and may include Disclosure &amp; Barring and Fitness to Study clearance. Where such clearance is required, information will be provided in programme literature and advice given to applicants.</w:t>
      </w:r>
    </w:p>
    <w:p w14:paraId="58A66C83" w14:textId="27FD8E4C" w:rsidR="00F5134C" w:rsidRPr="00F5134C" w:rsidRDefault="00F5134C" w:rsidP="004D570A">
      <w:pPr>
        <w:pStyle w:val="Heading2"/>
        <w:ind w:firstLine="360"/>
      </w:pPr>
      <w:bookmarkStart w:id="9" w:name="_Toc115084521"/>
      <w:r w:rsidRPr="00F5134C">
        <w:t>English Language</w:t>
      </w:r>
      <w:bookmarkEnd w:id="9"/>
      <w:r w:rsidRPr="00F5134C">
        <w:t xml:space="preserve"> </w:t>
      </w:r>
    </w:p>
    <w:p w14:paraId="039DC72B" w14:textId="3B3ECF82" w:rsidR="00F5134C" w:rsidRPr="004D570A" w:rsidRDefault="00F5134C" w:rsidP="009D3B83">
      <w:pPr>
        <w:pStyle w:val="ListParagraph"/>
        <w:numPr>
          <w:ilvl w:val="0"/>
          <w:numId w:val="5"/>
        </w:numPr>
        <w:spacing w:after="0" w:line="240" w:lineRule="auto"/>
        <w:ind w:hanging="720"/>
        <w:rPr>
          <w:rFonts w:asciiTheme="minorBidi" w:hAnsiTheme="minorBidi"/>
        </w:rPr>
      </w:pPr>
      <w:r w:rsidRPr="004D570A">
        <w:rPr>
          <w:rFonts w:asciiTheme="minorBidi" w:hAnsiTheme="minorBidi"/>
        </w:rPr>
        <w:t>All applicants must meet the University’s minimum English language level through the most recent evidence of one of the following prior to admission</w:t>
      </w:r>
      <w:r w:rsidR="004D570A">
        <w:rPr>
          <w:rFonts w:asciiTheme="minorBidi" w:hAnsiTheme="minorBidi"/>
        </w:rPr>
        <w:t>:</w:t>
      </w:r>
    </w:p>
    <w:p w14:paraId="56EE6D79" w14:textId="77777777" w:rsidR="00F5134C" w:rsidRPr="00F5134C" w:rsidRDefault="00F5134C" w:rsidP="00F5134C">
      <w:pPr>
        <w:spacing w:after="0" w:line="240" w:lineRule="auto"/>
        <w:rPr>
          <w:rFonts w:asciiTheme="minorBidi" w:hAnsiTheme="minorBidi"/>
          <w:color w:val="000000" w:themeColor="text1"/>
        </w:rPr>
      </w:pPr>
    </w:p>
    <w:p w14:paraId="2BD38B55" w14:textId="07F72425" w:rsidR="00F5134C" w:rsidRPr="000D3D13" w:rsidRDefault="00F5134C" w:rsidP="000D3D13">
      <w:pPr>
        <w:pStyle w:val="ListParagraph"/>
        <w:numPr>
          <w:ilvl w:val="0"/>
          <w:numId w:val="16"/>
        </w:numPr>
        <w:spacing w:after="0" w:line="240" w:lineRule="auto"/>
        <w:ind w:left="1134" w:hanging="425"/>
        <w:rPr>
          <w:rFonts w:asciiTheme="minorBidi" w:hAnsiTheme="minorBidi"/>
          <w:color w:val="000000" w:themeColor="text1"/>
        </w:rPr>
      </w:pPr>
      <w:r w:rsidRPr="000D3D13">
        <w:rPr>
          <w:rFonts w:asciiTheme="minorBidi" w:hAnsiTheme="minorBidi"/>
          <w:color w:val="000000" w:themeColor="text1"/>
        </w:rPr>
        <w:t>An approved Level 2 equivalent qualification including country equivalent</w:t>
      </w:r>
    </w:p>
    <w:p w14:paraId="07BA7032" w14:textId="2F3260C8" w:rsidR="00F5134C" w:rsidRPr="000D3D13" w:rsidRDefault="00F5134C" w:rsidP="000D3D13">
      <w:pPr>
        <w:pStyle w:val="ListParagraph"/>
        <w:numPr>
          <w:ilvl w:val="0"/>
          <w:numId w:val="16"/>
        </w:numPr>
        <w:spacing w:after="0" w:line="240" w:lineRule="auto"/>
        <w:ind w:left="1134" w:hanging="425"/>
        <w:rPr>
          <w:rFonts w:asciiTheme="minorBidi" w:hAnsiTheme="minorBidi"/>
          <w:color w:val="000000" w:themeColor="text1"/>
        </w:rPr>
      </w:pPr>
      <w:r w:rsidRPr="000D3D13">
        <w:rPr>
          <w:rFonts w:asciiTheme="minorBidi" w:hAnsiTheme="minorBidi"/>
          <w:color w:val="000000" w:themeColor="text1"/>
        </w:rPr>
        <w:t>An approved English Language test taken within 2 years prior to the start of the course</w:t>
      </w:r>
    </w:p>
    <w:p w14:paraId="39570548" w14:textId="3AB79B1E" w:rsidR="00F5134C" w:rsidRPr="000D3D13" w:rsidRDefault="00F5134C" w:rsidP="000D3D13">
      <w:pPr>
        <w:pStyle w:val="ListParagraph"/>
        <w:numPr>
          <w:ilvl w:val="0"/>
          <w:numId w:val="16"/>
        </w:numPr>
        <w:spacing w:after="0" w:line="240" w:lineRule="auto"/>
        <w:ind w:left="1134" w:hanging="425"/>
        <w:rPr>
          <w:rFonts w:asciiTheme="minorBidi" w:hAnsiTheme="minorBidi"/>
        </w:rPr>
      </w:pPr>
      <w:r w:rsidRPr="000D3D13">
        <w:rPr>
          <w:rFonts w:asciiTheme="minorBidi" w:hAnsiTheme="minorBidi"/>
          <w:color w:val="000000" w:themeColor="text1"/>
        </w:rPr>
        <w:t>S</w:t>
      </w:r>
      <w:r w:rsidRPr="000D3D13">
        <w:rPr>
          <w:rFonts w:asciiTheme="minorBidi" w:hAnsiTheme="minorBidi"/>
        </w:rPr>
        <w:t>uccessful completion of the appropriate Pre-sessional English Language programme offered by the University of Surrey, provided it is completed immediately preceding the main degree programme or with exceptional agreement</w:t>
      </w:r>
    </w:p>
    <w:p w14:paraId="5A727226" w14:textId="30C6AC29" w:rsidR="00F5134C" w:rsidRPr="004D570A" w:rsidRDefault="00F5134C" w:rsidP="000D3D13">
      <w:pPr>
        <w:pStyle w:val="ListParagraph"/>
        <w:numPr>
          <w:ilvl w:val="0"/>
          <w:numId w:val="16"/>
        </w:numPr>
        <w:spacing w:after="0" w:line="240" w:lineRule="auto"/>
        <w:ind w:left="1134" w:hanging="425"/>
        <w:rPr>
          <w:rFonts w:asciiTheme="minorBidi" w:hAnsiTheme="minorBidi"/>
        </w:rPr>
      </w:pPr>
      <w:r w:rsidRPr="004D570A">
        <w:rPr>
          <w:rFonts w:asciiTheme="minorBidi" w:eastAsia="Times New Roman" w:hAnsiTheme="minorBidi"/>
          <w:lang w:eastAsia="en-GB"/>
        </w:rPr>
        <w:t>Successful completion of an English Language assessment at the required level according to a University partnership agreement</w:t>
      </w:r>
    </w:p>
    <w:p w14:paraId="7391F138" w14:textId="77777777" w:rsidR="00F5134C" w:rsidRPr="00F5134C" w:rsidRDefault="00F5134C" w:rsidP="00F5134C">
      <w:pPr>
        <w:spacing w:after="0" w:line="240" w:lineRule="auto"/>
        <w:rPr>
          <w:rFonts w:asciiTheme="minorBidi" w:hAnsiTheme="minorBidi"/>
        </w:rPr>
      </w:pPr>
    </w:p>
    <w:p w14:paraId="40DFF43E" w14:textId="3E6CAE8E" w:rsidR="00F5134C" w:rsidRPr="004D570A" w:rsidRDefault="00F5134C" w:rsidP="00B64A53">
      <w:pPr>
        <w:pStyle w:val="ListParagraph"/>
        <w:numPr>
          <w:ilvl w:val="0"/>
          <w:numId w:val="5"/>
        </w:numPr>
        <w:spacing w:after="0" w:line="240" w:lineRule="auto"/>
        <w:ind w:hanging="720"/>
        <w:rPr>
          <w:rFonts w:asciiTheme="minorBidi" w:hAnsiTheme="minorBidi"/>
        </w:rPr>
      </w:pPr>
      <w:r w:rsidRPr="004D570A">
        <w:rPr>
          <w:rFonts w:asciiTheme="minorBidi" w:hAnsiTheme="minorBidi"/>
        </w:rPr>
        <w:lastRenderedPageBreak/>
        <w:t>Applicants can also be exempt from completing one of the above</w:t>
      </w:r>
      <w:r w:rsidR="004D570A">
        <w:rPr>
          <w:rFonts w:asciiTheme="minorBidi" w:hAnsiTheme="minorBidi"/>
        </w:rPr>
        <w:t xml:space="preserve"> requirements (see p</w:t>
      </w:r>
      <w:r w:rsidR="00E74CBF">
        <w:rPr>
          <w:rFonts w:asciiTheme="minorBidi" w:hAnsiTheme="minorBidi"/>
        </w:rPr>
        <w:t>aragraph</w:t>
      </w:r>
      <w:r w:rsidR="004D570A">
        <w:rPr>
          <w:rFonts w:asciiTheme="minorBidi" w:hAnsiTheme="minorBidi"/>
        </w:rPr>
        <w:t xml:space="preserve"> 20)</w:t>
      </w:r>
      <w:r w:rsidRPr="004D570A">
        <w:rPr>
          <w:rFonts w:asciiTheme="minorBidi" w:hAnsiTheme="minorBidi"/>
        </w:rPr>
        <w:t xml:space="preserve"> if they are a national of a Majority English Speaking Country or have studied for a minimum of one full academic year, and successfully completed within the past five years a qualification at least equivalent to a UK Bachelors taught in English. For further details please visit the </w:t>
      </w:r>
      <w:hyperlink r:id="rId24">
        <w:r w:rsidRPr="004D570A">
          <w:rPr>
            <w:rStyle w:val="Hyperlink"/>
            <w:rFonts w:asciiTheme="minorBidi" w:hAnsiTheme="minorBidi"/>
          </w:rPr>
          <w:t>language webpage.</w:t>
        </w:r>
      </w:hyperlink>
    </w:p>
    <w:p w14:paraId="6AA9D4F3" w14:textId="77777777" w:rsidR="00F5134C" w:rsidRPr="00F5134C" w:rsidRDefault="00F5134C" w:rsidP="00F5134C">
      <w:pPr>
        <w:spacing w:after="0" w:line="240" w:lineRule="auto"/>
        <w:rPr>
          <w:rFonts w:asciiTheme="minorBidi" w:hAnsiTheme="minorBidi"/>
        </w:rPr>
      </w:pPr>
    </w:p>
    <w:p w14:paraId="105B53BC" w14:textId="77777777" w:rsidR="00F5134C" w:rsidRPr="004D570A" w:rsidRDefault="00F5134C" w:rsidP="009D3B83">
      <w:pPr>
        <w:pStyle w:val="ListParagraph"/>
        <w:numPr>
          <w:ilvl w:val="0"/>
          <w:numId w:val="5"/>
        </w:numPr>
        <w:spacing w:after="0" w:line="240" w:lineRule="auto"/>
        <w:ind w:hanging="720"/>
        <w:rPr>
          <w:rFonts w:asciiTheme="minorBidi" w:hAnsiTheme="minorBidi"/>
        </w:rPr>
      </w:pPr>
      <w:r w:rsidRPr="004D570A">
        <w:rPr>
          <w:rFonts w:asciiTheme="minorBidi" w:hAnsiTheme="minorBidi"/>
        </w:rPr>
        <w:t>In some cases, a student will present a variety of pieces of evidence, sometimes conflicting, regarding English language ability.</w:t>
      </w:r>
    </w:p>
    <w:p w14:paraId="1AA80487" w14:textId="77777777" w:rsidR="00F5134C" w:rsidRPr="00F5134C" w:rsidRDefault="00F5134C" w:rsidP="00F5134C">
      <w:pPr>
        <w:spacing w:after="0" w:line="240" w:lineRule="auto"/>
        <w:rPr>
          <w:rFonts w:asciiTheme="minorBidi" w:hAnsiTheme="minorBidi"/>
        </w:rPr>
      </w:pPr>
    </w:p>
    <w:p w14:paraId="3AC26F7B" w14:textId="77777777" w:rsidR="00F5134C" w:rsidRPr="004D570A" w:rsidRDefault="00F5134C" w:rsidP="00B64A53">
      <w:pPr>
        <w:pStyle w:val="ListParagraph"/>
        <w:numPr>
          <w:ilvl w:val="0"/>
          <w:numId w:val="5"/>
        </w:numPr>
        <w:spacing w:after="0" w:line="240" w:lineRule="auto"/>
        <w:ind w:hanging="720"/>
        <w:rPr>
          <w:rFonts w:asciiTheme="minorBidi" w:hAnsiTheme="minorBidi"/>
        </w:rPr>
      </w:pPr>
      <w:r w:rsidRPr="004D570A">
        <w:rPr>
          <w:rFonts w:asciiTheme="minorBidi" w:hAnsiTheme="minorBidi"/>
        </w:rPr>
        <w:t xml:space="preserve">The principle here is to judge the student on the </w:t>
      </w:r>
      <w:r w:rsidRPr="004D570A">
        <w:rPr>
          <w:rFonts w:asciiTheme="minorBidi" w:hAnsiTheme="minorBidi"/>
          <w:b/>
        </w:rPr>
        <w:t>most recent</w:t>
      </w:r>
      <w:r w:rsidRPr="004D570A">
        <w:rPr>
          <w:rFonts w:asciiTheme="minorBidi" w:hAnsiTheme="minorBidi"/>
        </w:rPr>
        <w:t xml:space="preserve"> piece of evidence, except that an IELTS taken no more than 6 months before the end of a degree course takes precedence over degree study.  Where a student registers for an IELTS test but subsequently withdraws without taking the test, they are judged on the other criteria and evidence of the cancelled test will be required. </w:t>
      </w:r>
    </w:p>
    <w:p w14:paraId="1F73BE4B" w14:textId="26B71225" w:rsidR="00F5134C" w:rsidRDefault="00F5134C" w:rsidP="007C3985">
      <w:pPr>
        <w:pStyle w:val="Heading2"/>
      </w:pPr>
    </w:p>
    <w:p w14:paraId="5FADF5AE" w14:textId="7BA10495" w:rsidR="00BB137B" w:rsidRPr="00BB137B" w:rsidRDefault="00BB137B" w:rsidP="004D570A">
      <w:pPr>
        <w:pStyle w:val="Heading1"/>
        <w:ind w:firstLine="360"/>
      </w:pPr>
      <w:bookmarkStart w:id="10" w:name="_Toc115084522"/>
      <w:r w:rsidRPr="00BB137B">
        <w:t>Extenuating circumstances</w:t>
      </w:r>
      <w:bookmarkEnd w:id="10"/>
      <w:r w:rsidRPr="00BB137B">
        <w:t xml:space="preserve"> </w:t>
      </w:r>
    </w:p>
    <w:p w14:paraId="2FB710AB" w14:textId="77777777" w:rsidR="00BB137B" w:rsidRPr="004D570A" w:rsidRDefault="00BB137B" w:rsidP="009D3B83">
      <w:pPr>
        <w:pStyle w:val="ListParagraph"/>
        <w:numPr>
          <w:ilvl w:val="0"/>
          <w:numId w:val="5"/>
        </w:numPr>
        <w:spacing w:after="0" w:line="240" w:lineRule="auto"/>
        <w:ind w:hanging="720"/>
        <w:rPr>
          <w:rFonts w:asciiTheme="minorBidi" w:hAnsiTheme="minorBidi"/>
        </w:rPr>
      </w:pPr>
      <w:r w:rsidRPr="004D570A">
        <w:rPr>
          <w:rFonts w:asciiTheme="minorBidi" w:hAnsiTheme="minorBidi"/>
        </w:rPr>
        <w:t xml:space="preserve">Extenuating circumstances </w:t>
      </w:r>
      <w:r w:rsidRPr="006D3E72">
        <w:rPr>
          <w:rFonts w:asciiTheme="minorBidi" w:hAnsiTheme="minorBidi"/>
        </w:rPr>
        <w:t>are non-academic factors which may include illness, family circumstances, personal responsibility</w:t>
      </w:r>
      <w:r w:rsidRPr="004D570A">
        <w:rPr>
          <w:rFonts w:asciiTheme="minorBidi" w:hAnsiTheme="minorBidi"/>
        </w:rPr>
        <w:t xml:space="preserve"> or instability affecting the school or the college where these may have had an adverse effect on a student’s educational attainment. </w:t>
      </w:r>
    </w:p>
    <w:p w14:paraId="1D073EA6" w14:textId="77777777" w:rsidR="00BB137B" w:rsidRPr="00DD36B0" w:rsidRDefault="00BB137B" w:rsidP="00BB137B">
      <w:pPr>
        <w:spacing w:after="0" w:line="240" w:lineRule="auto"/>
        <w:rPr>
          <w:rFonts w:asciiTheme="minorBidi" w:hAnsiTheme="minorBidi"/>
        </w:rPr>
      </w:pPr>
    </w:p>
    <w:p w14:paraId="39FB2791" w14:textId="7531EDC4" w:rsidR="00BB137B" w:rsidRPr="004D570A" w:rsidRDefault="00BB137B" w:rsidP="00B64A53">
      <w:pPr>
        <w:pStyle w:val="ListParagraph"/>
        <w:numPr>
          <w:ilvl w:val="0"/>
          <w:numId w:val="5"/>
        </w:numPr>
        <w:spacing w:after="0" w:line="240" w:lineRule="auto"/>
        <w:ind w:hanging="720"/>
        <w:rPr>
          <w:rFonts w:asciiTheme="minorBidi" w:hAnsiTheme="minorBidi"/>
        </w:rPr>
      </w:pPr>
      <w:r w:rsidRPr="004D570A">
        <w:rPr>
          <w:rFonts w:asciiTheme="minorBidi" w:hAnsiTheme="minorBidi"/>
        </w:rPr>
        <w:t xml:space="preserve">Applicants should first submit their extenuating circumstances to their exam boards for consideration and await a decision from the boards before contacting the University. The University will usually only consider extenuating circumstances where an exam board has not already made special dispensation post-examination to a student’s grades. In these cases, applicants should contact </w:t>
      </w:r>
      <w:hyperlink r:id="rId25">
        <w:r w:rsidRPr="004D570A">
          <w:rPr>
            <w:rStyle w:val="Hyperlink"/>
            <w:rFonts w:asciiTheme="minorBidi" w:hAnsiTheme="minorBidi"/>
          </w:rPr>
          <w:t>headofadmissions@surrey.ac.uk</w:t>
        </w:r>
      </w:hyperlink>
      <w:r w:rsidRPr="004D570A">
        <w:rPr>
          <w:rFonts w:asciiTheme="minorBidi" w:hAnsiTheme="minorBidi"/>
        </w:rPr>
        <w:t xml:space="preserve"> confirming which exam board the qualifications were taken. </w:t>
      </w:r>
    </w:p>
    <w:p w14:paraId="7329C788" w14:textId="77777777" w:rsidR="00BB137B" w:rsidRPr="00DD36B0" w:rsidRDefault="00BB137B" w:rsidP="00BB137B">
      <w:pPr>
        <w:spacing w:after="0" w:line="240" w:lineRule="auto"/>
        <w:rPr>
          <w:rFonts w:asciiTheme="minorBidi" w:hAnsiTheme="minorBidi"/>
        </w:rPr>
      </w:pPr>
    </w:p>
    <w:p w14:paraId="24D88ECA" w14:textId="77777777" w:rsidR="00BB137B" w:rsidRPr="004D570A" w:rsidRDefault="00BB137B" w:rsidP="009D3B83">
      <w:pPr>
        <w:pStyle w:val="ListParagraph"/>
        <w:numPr>
          <w:ilvl w:val="0"/>
          <w:numId w:val="5"/>
        </w:numPr>
        <w:spacing w:after="0" w:line="240" w:lineRule="auto"/>
        <w:ind w:hanging="720"/>
        <w:rPr>
          <w:rFonts w:asciiTheme="minorBidi" w:hAnsiTheme="minorBidi"/>
        </w:rPr>
      </w:pPr>
      <w:r w:rsidRPr="004D570A">
        <w:rPr>
          <w:rFonts w:asciiTheme="minorBidi" w:hAnsiTheme="minorBidi"/>
        </w:rPr>
        <w:t>All extenuating circumstances will be dealt with on an individual basis and with the strictest confidence, but it is important to note that submitting extenuating circumstances does not guarantee that the University will be able to accept applicants who do not meet the conditions of their offer.</w:t>
      </w:r>
    </w:p>
    <w:p w14:paraId="22EAA1E4" w14:textId="77777777" w:rsidR="00BB137B" w:rsidRDefault="00BB137B" w:rsidP="00BB137B">
      <w:pPr>
        <w:spacing w:after="0" w:line="240" w:lineRule="auto"/>
      </w:pPr>
    </w:p>
    <w:p w14:paraId="19697967" w14:textId="1B95D6DA" w:rsidR="00BB137B" w:rsidRPr="00BB137B" w:rsidRDefault="00BB137B" w:rsidP="004D570A">
      <w:pPr>
        <w:pStyle w:val="Heading1"/>
        <w:ind w:firstLine="360"/>
      </w:pPr>
      <w:bookmarkStart w:id="11" w:name="_Toc115084523"/>
      <w:r w:rsidRPr="00BB137B">
        <w:t>Interviews and auditions</w:t>
      </w:r>
      <w:bookmarkEnd w:id="11"/>
      <w:r w:rsidRPr="00BB137B">
        <w:t xml:space="preserve"> </w:t>
      </w:r>
    </w:p>
    <w:p w14:paraId="7E632407" w14:textId="18BB07B4" w:rsidR="00BB137B" w:rsidRPr="004D570A" w:rsidRDefault="00BB137B" w:rsidP="00B64A53">
      <w:pPr>
        <w:pStyle w:val="ListParagraph"/>
        <w:numPr>
          <w:ilvl w:val="0"/>
          <w:numId w:val="5"/>
        </w:numPr>
        <w:autoSpaceDE w:val="0"/>
        <w:autoSpaceDN w:val="0"/>
        <w:adjustRightInd w:val="0"/>
        <w:spacing w:after="0" w:line="240" w:lineRule="auto"/>
        <w:ind w:hanging="720"/>
        <w:rPr>
          <w:rFonts w:ascii="Arial" w:hAnsi="Arial" w:cs="Arial"/>
          <w:lang w:eastAsia="zh-CN"/>
        </w:rPr>
      </w:pPr>
      <w:r w:rsidRPr="004D570A">
        <w:rPr>
          <w:rFonts w:ascii="Arial" w:hAnsi="Arial" w:cs="Arial"/>
          <w:lang w:eastAsia="zh-CN"/>
        </w:rPr>
        <w:t xml:space="preserve">Some academic </w:t>
      </w:r>
      <w:r w:rsidR="00875B97">
        <w:rPr>
          <w:rFonts w:ascii="Arial" w:hAnsi="Arial" w:cs="Arial"/>
          <w:lang w:eastAsia="zh-CN"/>
        </w:rPr>
        <w:t>S</w:t>
      </w:r>
      <w:r w:rsidRPr="004D570A">
        <w:rPr>
          <w:rFonts w:ascii="Arial" w:hAnsi="Arial" w:cs="Arial"/>
          <w:lang w:eastAsia="zh-CN"/>
        </w:rPr>
        <w:t xml:space="preserve">chools and </w:t>
      </w:r>
      <w:r w:rsidR="00875B97">
        <w:rPr>
          <w:rFonts w:ascii="Arial" w:hAnsi="Arial" w:cs="Arial"/>
          <w:lang w:eastAsia="zh-CN"/>
        </w:rPr>
        <w:t>D</w:t>
      </w:r>
      <w:r w:rsidRPr="004D570A">
        <w:rPr>
          <w:rFonts w:ascii="Arial" w:hAnsi="Arial" w:cs="Arial"/>
          <w:lang w:eastAsia="zh-CN"/>
        </w:rPr>
        <w:t>epartments may use interviews or auditions to assess applications. Where this is the case, they may interview or audition all candidates whose UCAS applications meet their academic criteria, or they may interview only a proportion of candidates, for example where applicants are presenting non</w:t>
      </w:r>
      <w:r w:rsidRPr="004D570A">
        <w:rPr>
          <w:rFonts w:ascii="Cambria Math" w:hAnsi="Cambria Math" w:cs="Cambria Math"/>
          <w:lang w:eastAsia="zh-CN"/>
        </w:rPr>
        <w:t>‐</w:t>
      </w:r>
      <w:r w:rsidRPr="004D570A">
        <w:rPr>
          <w:rFonts w:ascii="Arial" w:hAnsi="Arial" w:cs="Arial"/>
          <w:lang w:eastAsia="zh-CN"/>
        </w:rPr>
        <w:t>standard qualifications, or where the applicant is a mature candidate.</w:t>
      </w:r>
    </w:p>
    <w:p w14:paraId="3C6A28EA" w14:textId="77777777" w:rsidR="00BB137B" w:rsidRPr="00DD36B0" w:rsidRDefault="00BB137B" w:rsidP="00BB137B">
      <w:pPr>
        <w:spacing w:after="0" w:line="240" w:lineRule="auto"/>
        <w:rPr>
          <w:rFonts w:ascii="Arial" w:hAnsi="Arial" w:cs="Arial"/>
          <w:color w:val="000000" w:themeColor="text1"/>
        </w:rPr>
      </w:pPr>
    </w:p>
    <w:p w14:paraId="4FB062F6" w14:textId="29FF16D8" w:rsidR="00BB137B" w:rsidRPr="00DD36B0" w:rsidRDefault="00BB137B" w:rsidP="004D570A">
      <w:pPr>
        <w:pStyle w:val="Heading1"/>
        <w:ind w:left="360"/>
      </w:pPr>
      <w:bookmarkStart w:id="12" w:name="_Toc115084524"/>
      <w:r w:rsidRPr="00DD36B0">
        <w:t>Deferred entry</w:t>
      </w:r>
      <w:bookmarkEnd w:id="12"/>
    </w:p>
    <w:p w14:paraId="3CD15BEC" w14:textId="4E9D1760" w:rsidR="00BB137B" w:rsidRPr="004D570A" w:rsidRDefault="00BB137B" w:rsidP="009D3B83">
      <w:pPr>
        <w:pStyle w:val="ListParagraph"/>
        <w:numPr>
          <w:ilvl w:val="0"/>
          <w:numId w:val="5"/>
        </w:numPr>
        <w:autoSpaceDE w:val="0"/>
        <w:autoSpaceDN w:val="0"/>
        <w:adjustRightInd w:val="0"/>
        <w:spacing w:after="0" w:line="240" w:lineRule="auto"/>
        <w:ind w:hanging="720"/>
        <w:rPr>
          <w:rFonts w:ascii="Arial" w:hAnsi="Arial" w:cs="Arial"/>
          <w:lang w:eastAsia="zh-CN"/>
        </w:rPr>
      </w:pPr>
      <w:r w:rsidRPr="004D570A">
        <w:rPr>
          <w:rFonts w:ascii="Arial" w:hAnsi="Arial" w:cs="Arial"/>
          <w:color w:val="000000" w:themeColor="text1"/>
          <w:lang w:val="en"/>
        </w:rPr>
        <w:t>It is not possible to defer an application for Heath Science</w:t>
      </w:r>
      <w:r w:rsidR="004D570A">
        <w:rPr>
          <w:rFonts w:ascii="Arial" w:hAnsi="Arial" w:cs="Arial"/>
          <w:color w:val="000000" w:themeColor="text1"/>
          <w:lang w:val="en"/>
        </w:rPr>
        <w:t>s</w:t>
      </w:r>
      <w:r w:rsidR="000D3D13">
        <w:rPr>
          <w:rFonts w:ascii="Arial" w:hAnsi="Arial" w:cs="Arial"/>
          <w:color w:val="000000" w:themeColor="text1"/>
          <w:lang w:val="en"/>
        </w:rPr>
        <w:t xml:space="preserve"> programmes</w:t>
      </w:r>
      <w:r w:rsidR="004D570A">
        <w:rPr>
          <w:rFonts w:ascii="Arial" w:hAnsi="Arial" w:cs="Arial"/>
          <w:color w:val="000000" w:themeColor="text1"/>
          <w:lang w:val="en"/>
        </w:rPr>
        <w:t>,</w:t>
      </w:r>
      <w:r w:rsidRPr="004D570A">
        <w:rPr>
          <w:rFonts w:ascii="Arial" w:hAnsi="Arial" w:cs="Arial"/>
          <w:color w:val="000000" w:themeColor="text1"/>
          <w:lang w:val="en"/>
        </w:rPr>
        <w:t xml:space="preserve"> including Medicine, Dietetics and Veterinary Medicine and Science programmes and the majority of courses in </w:t>
      </w:r>
      <w:r w:rsidR="00875B97">
        <w:rPr>
          <w:rFonts w:ascii="Arial" w:hAnsi="Arial" w:cs="Arial"/>
          <w:color w:val="000000" w:themeColor="text1"/>
          <w:lang w:val="en"/>
        </w:rPr>
        <w:t xml:space="preserve">the </w:t>
      </w:r>
      <w:r w:rsidRPr="004D570A">
        <w:rPr>
          <w:rFonts w:ascii="Arial" w:hAnsi="Arial" w:cs="Arial"/>
          <w:color w:val="000000" w:themeColor="text1"/>
          <w:lang w:val="en"/>
        </w:rPr>
        <w:t xml:space="preserve">Guildford School of Acting (GSA). This is due to the limited number of places available each year and possible changes to the professional requirements each cycle. For </w:t>
      </w:r>
      <w:r w:rsidR="004D570A">
        <w:rPr>
          <w:rFonts w:ascii="Arial" w:hAnsi="Arial" w:cs="Arial"/>
          <w:color w:val="000000" w:themeColor="text1"/>
          <w:lang w:val="en"/>
        </w:rPr>
        <w:t>all</w:t>
      </w:r>
      <w:r w:rsidRPr="004D570A">
        <w:rPr>
          <w:rFonts w:ascii="Arial" w:hAnsi="Arial" w:cs="Arial"/>
          <w:color w:val="000000" w:themeColor="text1"/>
          <w:lang w:val="en"/>
        </w:rPr>
        <w:t xml:space="preserve"> other programmes, </w:t>
      </w:r>
      <w:r w:rsidRPr="004D570A">
        <w:rPr>
          <w:rFonts w:ascii="Arial" w:hAnsi="Arial" w:cs="Arial"/>
          <w:lang w:eastAsia="zh-CN"/>
        </w:rPr>
        <w:t xml:space="preserve">applicants may indicate on their UCAS application that they wish to defer entry for a year, or may contact us in writing later in the application cycle, but no later than 31 August. Applicants seeking to defer their entry should be aware that any offer conditions must be met by the end of the application cycle for the year in which they submitted their UCAS application. </w:t>
      </w:r>
    </w:p>
    <w:p w14:paraId="46C03D6F" w14:textId="77777777" w:rsidR="00BB137B" w:rsidRPr="00DD36B0" w:rsidRDefault="00BB137B" w:rsidP="00BB137B">
      <w:pPr>
        <w:autoSpaceDE w:val="0"/>
        <w:autoSpaceDN w:val="0"/>
        <w:adjustRightInd w:val="0"/>
        <w:spacing w:after="0" w:line="240" w:lineRule="auto"/>
        <w:rPr>
          <w:rFonts w:ascii="Arial" w:hAnsi="Arial" w:cs="Arial"/>
          <w:lang w:eastAsia="zh-CN"/>
        </w:rPr>
      </w:pPr>
    </w:p>
    <w:p w14:paraId="580196DA" w14:textId="10A0925B" w:rsidR="00BB137B" w:rsidRDefault="00BB137B" w:rsidP="00B64A53">
      <w:pPr>
        <w:pStyle w:val="ListParagraph"/>
        <w:numPr>
          <w:ilvl w:val="0"/>
          <w:numId w:val="5"/>
        </w:numPr>
        <w:autoSpaceDE w:val="0"/>
        <w:autoSpaceDN w:val="0"/>
        <w:adjustRightInd w:val="0"/>
        <w:spacing w:after="0" w:line="240" w:lineRule="auto"/>
        <w:ind w:hanging="720"/>
        <w:rPr>
          <w:rFonts w:asciiTheme="minorBidi" w:hAnsiTheme="minorBidi"/>
          <w:lang w:eastAsia="zh-CN"/>
        </w:rPr>
      </w:pPr>
      <w:r w:rsidRPr="004D570A">
        <w:rPr>
          <w:rFonts w:ascii="Arial" w:hAnsi="Arial" w:cs="Arial"/>
          <w:lang w:eastAsia="zh-CN"/>
        </w:rPr>
        <w:t xml:space="preserve">Applications which indicate at the outset that they are for deferred entry will be considered against the entry criteria for the year in which they apply, except for any interview programmes that have professional requirements such as Health Sciences, Medicine, Dietetics or Veterinary Medicine. Applicants may only be considered for a bursary or </w:t>
      </w:r>
      <w:r w:rsidRPr="004D570A">
        <w:rPr>
          <w:rFonts w:asciiTheme="minorBidi" w:hAnsiTheme="minorBidi"/>
          <w:lang w:eastAsia="zh-CN"/>
        </w:rPr>
        <w:t xml:space="preserve">scholarship for the cycle in which their application is received. </w:t>
      </w:r>
    </w:p>
    <w:p w14:paraId="7B1B72D0" w14:textId="77777777" w:rsidR="004D570A" w:rsidRPr="004D570A" w:rsidRDefault="004D570A" w:rsidP="004D570A">
      <w:pPr>
        <w:pStyle w:val="ListParagraph"/>
        <w:autoSpaceDE w:val="0"/>
        <w:autoSpaceDN w:val="0"/>
        <w:adjustRightInd w:val="0"/>
        <w:spacing w:after="0" w:line="240" w:lineRule="auto"/>
        <w:rPr>
          <w:rFonts w:asciiTheme="minorBidi" w:hAnsiTheme="minorBidi"/>
          <w:lang w:eastAsia="zh-CN"/>
        </w:rPr>
      </w:pPr>
    </w:p>
    <w:p w14:paraId="500506A1" w14:textId="78804A0E" w:rsidR="00BB137B" w:rsidRPr="004D570A" w:rsidRDefault="00BB137B" w:rsidP="00B64A53">
      <w:pPr>
        <w:pStyle w:val="ListParagraph"/>
        <w:numPr>
          <w:ilvl w:val="0"/>
          <w:numId w:val="5"/>
        </w:numPr>
        <w:autoSpaceDE w:val="0"/>
        <w:autoSpaceDN w:val="0"/>
        <w:adjustRightInd w:val="0"/>
        <w:spacing w:after="0" w:line="240" w:lineRule="auto"/>
        <w:ind w:hanging="720"/>
        <w:rPr>
          <w:rFonts w:asciiTheme="minorBidi" w:hAnsiTheme="minorBidi"/>
          <w:lang w:eastAsia="zh-CN"/>
        </w:rPr>
      </w:pPr>
      <w:r w:rsidRPr="004D570A">
        <w:rPr>
          <w:rFonts w:asciiTheme="minorBidi" w:hAnsiTheme="minorBidi"/>
          <w:lang w:eastAsia="zh-CN"/>
        </w:rPr>
        <w:t xml:space="preserve">Unless there are exceptional circumstances, </w:t>
      </w:r>
      <w:r w:rsidR="004D570A">
        <w:rPr>
          <w:rFonts w:asciiTheme="minorBidi" w:hAnsiTheme="minorBidi"/>
          <w:lang w:eastAsia="zh-CN"/>
        </w:rPr>
        <w:t>the University</w:t>
      </w:r>
      <w:r w:rsidRPr="004D570A">
        <w:rPr>
          <w:rFonts w:asciiTheme="minorBidi" w:hAnsiTheme="minorBidi"/>
          <w:lang w:eastAsia="zh-CN"/>
        </w:rPr>
        <w:t xml:space="preserve"> do</w:t>
      </w:r>
      <w:r w:rsidR="004D570A">
        <w:rPr>
          <w:rFonts w:asciiTheme="minorBidi" w:hAnsiTheme="minorBidi"/>
          <w:lang w:eastAsia="zh-CN"/>
        </w:rPr>
        <w:t>es</w:t>
      </w:r>
      <w:r w:rsidRPr="004D570A">
        <w:rPr>
          <w:rFonts w:asciiTheme="minorBidi" w:hAnsiTheme="minorBidi"/>
          <w:lang w:eastAsia="zh-CN"/>
        </w:rPr>
        <w:t xml:space="preserve"> not normally permit applicants who apply to us through the Clearing process to defer their entry.</w:t>
      </w:r>
    </w:p>
    <w:p w14:paraId="6BDC3BBB" w14:textId="77777777" w:rsidR="00BB137B" w:rsidRPr="00DD36B0" w:rsidRDefault="00BB137B" w:rsidP="00BB137B">
      <w:pPr>
        <w:autoSpaceDE w:val="0"/>
        <w:autoSpaceDN w:val="0"/>
        <w:adjustRightInd w:val="0"/>
        <w:spacing w:after="0" w:line="240" w:lineRule="auto"/>
        <w:rPr>
          <w:rFonts w:asciiTheme="minorBidi" w:hAnsiTheme="minorBidi"/>
          <w:lang w:eastAsia="zh-CN"/>
        </w:rPr>
      </w:pPr>
    </w:p>
    <w:p w14:paraId="7AEC6EB0" w14:textId="1486939F" w:rsidR="00BB137B" w:rsidRPr="004D570A" w:rsidRDefault="004D570A" w:rsidP="009D3B83">
      <w:pPr>
        <w:pStyle w:val="ListParagraph"/>
        <w:numPr>
          <w:ilvl w:val="0"/>
          <w:numId w:val="5"/>
        </w:numPr>
        <w:autoSpaceDE w:val="0"/>
        <w:autoSpaceDN w:val="0"/>
        <w:adjustRightInd w:val="0"/>
        <w:spacing w:after="0" w:line="240" w:lineRule="auto"/>
        <w:ind w:hanging="720"/>
        <w:rPr>
          <w:rFonts w:asciiTheme="minorBidi" w:hAnsiTheme="minorBidi"/>
          <w:color w:val="000000" w:themeColor="text1"/>
        </w:rPr>
      </w:pPr>
      <w:r>
        <w:rPr>
          <w:rFonts w:asciiTheme="minorBidi" w:hAnsiTheme="minorBidi"/>
          <w:lang w:eastAsia="zh-CN"/>
        </w:rPr>
        <w:t>N</w:t>
      </w:r>
      <w:r w:rsidR="00BB137B" w:rsidRPr="004D570A">
        <w:rPr>
          <w:rFonts w:asciiTheme="minorBidi" w:hAnsiTheme="minorBidi"/>
          <w:lang w:eastAsia="zh-CN"/>
        </w:rPr>
        <w:t>ormally</w:t>
      </w:r>
      <w:r>
        <w:rPr>
          <w:rFonts w:asciiTheme="minorBidi" w:hAnsiTheme="minorBidi"/>
          <w:lang w:eastAsia="zh-CN"/>
        </w:rPr>
        <w:t>,</w:t>
      </w:r>
      <w:r w:rsidR="00BB137B" w:rsidRPr="004D570A">
        <w:rPr>
          <w:rFonts w:asciiTheme="minorBidi" w:hAnsiTheme="minorBidi"/>
          <w:lang w:eastAsia="zh-CN"/>
        </w:rPr>
        <w:t xml:space="preserve"> applicants </w:t>
      </w:r>
      <w:r>
        <w:rPr>
          <w:rFonts w:asciiTheme="minorBidi" w:hAnsiTheme="minorBidi"/>
          <w:lang w:eastAsia="zh-CN"/>
        </w:rPr>
        <w:t xml:space="preserve">are not permitted </w:t>
      </w:r>
      <w:r w:rsidR="00BB137B" w:rsidRPr="004D570A">
        <w:rPr>
          <w:rFonts w:asciiTheme="minorBidi" w:hAnsiTheme="minorBidi"/>
          <w:lang w:eastAsia="zh-CN"/>
        </w:rPr>
        <w:t>to defer entry for more than one year. Applicants</w:t>
      </w:r>
      <w:r>
        <w:rPr>
          <w:rFonts w:asciiTheme="minorBidi" w:hAnsiTheme="minorBidi"/>
          <w:lang w:eastAsia="zh-CN"/>
        </w:rPr>
        <w:t>,</w:t>
      </w:r>
      <w:r w:rsidR="00BB137B" w:rsidRPr="004D570A">
        <w:rPr>
          <w:rFonts w:asciiTheme="minorBidi" w:hAnsiTheme="minorBidi"/>
          <w:lang w:eastAsia="zh-CN"/>
        </w:rPr>
        <w:t xml:space="preserve"> who </w:t>
      </w:r>
      <w:r>
        <w:rPr>
          <w:rFonts w:asciiTheme="minorBidi" w:hAnsiTheme="minorBidi"/>
          <w:lang w:eastAsia="zh-CN"/>
        </w:rPr>
        <w:t xml:space="preserve">would like to </w:t>
      </w:r>
      <w:r w:rsidR="00BB137B" w:rsidRPr="004D570A">
        <w:rPr>
          <w:rFonts w:asciiTheme="minorBidi" w:hAnsiTheme="minorBidi"/>
          <w:lang w:eastAsia="zh-CN"/>
        </w:rPr>
        <w:t>defer for more than one year</w:t>
      </w:r>
      <w:r>
        <w:rPr>
          <w:rFonts w:asciiTheme="minorBidi" w:hAnsiTheme="minorBidi"/>
          <w:lang w:eastAsia="zh-CN"/>
        </w:rPr>
        <w:t>,</w:t>
      </w:r>
      <w:r w:rsidR="00BB137B" w:rsidRPr="004D570A">
        <w:rPr>
          <w:rFonts w:asciiTheme="minorBidi" w:hAnsiTheme="minorBidi"/>
          <w:lang w:eastAsia="zh-CN"/>
        </w:rPr>
        <w:t xml:space="preserve"> are usually expected to make a new application through UCAS.</w:t>
      </w:r>
    </w:p>
    <w:p w14:paraId="2F572E7F" w14:textId="77777777" w:rsidR="00875B97" w:rsidRDefault="00875B97" w:rsidP="00875B97">
      <w:pPr>
        <w:autoSpaceDE w:val="0"/>
        <w:autoSpaceDN w:val="0"/>
        <w:adjustRightInd w:val="0"/>
        <w:spacing w:after="0" w:line="240" w:lineRule="auto"/>
        <w:ind w:left="720"/>
        <w:rPr>
          <w:rFonts w:asciiTheme="minorBidi" w:hAnsiTheme="minorBidi"/>
          <w:vanish/>
          <w:color w:val="000000" w:themeColor="text1"/>
          <w:lang w:val="en"/>
        </w:rPr>
      </w:pPr>
    </w:p>
    <w:p w14:paraId="5B5F5C95" w14:textId="5CCCF6D8" w:rsidR="00BB137B" w:rsidRPr="00DD36B0" w:rsidRDefault="00BB137B" w:rsidP="006D3E72">
      <w:pPr>
        <w:autoSpaceDE w:val="0"/>
        <w:autoSpaceDN w:val="0"/>
        <w:adjustRightInd w:val="0"/>
        <w:spacing w:after="0" w:line="240" w:lineRule="auto"/>
        <w:ind w:left="720"/>
        <w:rPr>
          <w:rFonts w:asciiTheme="minorBidi" w:hAnsiTheme="minorBidi"/>
          <w:color w:val="000000" w:themeColor="text1"/>
          <w:lang w:eastAsia="zh-CN"/>
        </w:rPr>
      </w:pPr>
      <w:r w:rsidRPr="00DD36B0">
        <w:rPr>
          <w:rFonts w:asciiTheme="minorBidi" w:hAnsiTheme="minorBidi"/>
          <w:vanish/>
          <w:color w:val="000000" w:themeColor="text1"/>
          <w:lang w:val="en"/>
        </w:rPr>
        <w:t>It is not possible for you to defer your application for our</w:t>
      </w:r>
      <w:r w:rsidR="00875B97">
        <w:rPr>
          <w:rFonts w:asciiTheme="minorBidi" w:hAnsiTheme="minorBidi"/>
          <w:vanish/>
          <w:color w:val="000000" w:themeColor="text1"/>
          <w:lang w:val="en"/>
        </w:rPr>
        <w:t xml:space="preserve"> </w:t>
      </w:r>
      <w:hyperlink r:id="rId26" w:history="1">
        <w:r w:rsidRPr="006D3E72">
          <w:rPr>
            <w:rFonts w:asciiTheme="minorBidi" w:hAnsiTheme="minorBidi"/>
            <w:vanish/>
            <w:color w:val="000000" w:themeColor="text1"/>
            <w:lang w:val="en"/>
          </w:rPr>
          <w:t>Health Sciences</w:t>
        </w:r>
      </w:hyperlink>
      <w:r w:rsidR="00875B97">
        <w:rPr>
          <w:rFonts w:asciiTheme="minorBidi" w:hAnsiTheme="minorBidi"/>
          <w:vanish/>
          <w:color w:val="000000" w:themeColor="text1"/>
          <w:lang w:val="en"/>
        </w:rPr>
        <w:t xml:space="preserve"> </w:t>
      </w:r>
      <w:r w:rsidRPr="00DD36B0">
        <w:rPr>
          <w:rFonts w:asciiTheme="minorBidi" w:hAnsiTheme="minorBidi"/>
          <w:vanish/>
          <w:color w:val="000000" w:themeColor="text1"/>
          <w:lang w:val="en"/>
        </w:rPr>
        <w:t>or</w:t>
      </w:r>
      <w:r w:rsidR="00875B97">
        <w:rPr>
          <w:rFonts w:asciiTheme="minorBidi" w:hAnsiTheme="minorBidi"/>
          <w:vanish/>
          <w:color w:val="000000" w:themeColor="text1"/>
          <w:lang w:val="en"/>
        </w:rPr>
        <w:t xml:space="preserve"> </w:t>
      </w:r>
      <w:hyperlink r:id="rId27" w:history="1">
        <w:r w:rsidRPr="006D3E72">
          <w:rPr>
            <w:rFonts w:asciiTheme="minorBidi" w:hAnsiTheme="minorBidi"/>
            <w:vanish/>
            <w:color w:val="000000" w:themeColor="text1"/>
            <w:lang w:val="en"/>
          </w:rPr>
          <w:t>Veterinary Medicine and Science</w:t>
        </w:r>
      </w:hyperlink>
      <w:r w:rsidR="00875B97">
        <w:rPr>
          <w:rFonts w:asciiTheme="minorBidi" w:hAnsiTheme="minorBidi"/>
          <w:vanish/>
          <w:color w:val="000000" w:themeColor="text1"/>
          <w:lang w:val="en"/>
        </w:rPr>
        <w:t xml:space="preserve"> </w:t>
      </w:r>
      <w:r w:rsidRPr="00DD36B0">
        <w:rPr>
          <w:rFonts w:asciiTheme="minorBidi" w:hAnsiTheme="minorBidi"/>
          <w:vanish/>
          <w:color w:val="000000" w:themeColor="text1"/>
          <w:lang w:val="en"/>
        </w:rPr>
        <w:t>courses</w:t>
      </w:r>
    </w:p>
    <w:p w14:paraId="746FA9B3" w14:textId="6F8515A8" w:rsidR="00BB137B" w:rsidRPr="00DD36B0" w:rsidRDefault="00BB137B" w:rsidP="004D570A">
      <w:pPr>
        <w:pStyle w:val="Heading1"/>
        <w:ind w:left="720"/>
      </w:pPr>
      <w:bookmarkStart w:id="13" w:name="_Toc115084525"/>
      <w:r w:rsidRPr="00DD36B0">
        <w:t>Direct entry</w:t>
      </w:r>
      <w:bookmarkEnd w:id="13"/>
      <w:r w:rsidRPr="00DD36B0">
        <w:t xml:space="preserve"> </w:t>
      </w:r>
    </w:p>
    <w:p w14:paraId="7ACE359B" w14:textId="77777777" w:rsidR="00BB137B" w:rsidRPr="004D570A" w:rsidRDefault="00BB137B" w:rsidP="00B64A53">
      <w:pPr>
        <w:pStyle w:val="ListParagraph"/>
        <w:numPr>
          <w:ilvl w:val="0"/>
          <w:numId w:val="5"/>
        </w:numPr>
        <w:autoSpaceDE w:val="0"/>
        <w:autoSpaceDN w:val="0"/>
        <w:adjustRightInd w:val="0"/>
        <w:spacing w:after="0" w:line="240" w:lineRule="auto"/>
        <w:ind w:hanging="720"/>
        <w:rPr>
          <w:rFonts w:asciiTheme="minorBidi" w:hAnsiTheme="minorBidi"/>
          <w:lang w:eastAsia="zh-CN"/>
        </w:rPr>
      </w:pPr>
      <w:r w:rsidRPr="004D570A">
        <w:rPr>
          <w:rFonts w:asciiTheme="minorBidi" w:hAnsiTheme="minorBidi"/>
          <w:lang w:eastAsia="zh-CN"/>
        </w:rPr>
        <w:t xml:space="preserve">Applications may be considered from applicants who are seeking direct entry. However, we will need to be satisfied that the applicant has covered all the core material contained in the syllabus for the previous year(s). It is therefore important that applicants who wish to be considered for direct entry send us copies of transcripts of their previous studies and any other supporting information. Applicants may be required to attend an interview or submit a piece of work as part of the selection process. </w:t>
      </w:r>
    </w:p>
    <w:p w14:paraId="53EB65A2" w14:textId="77777777" w:rsidR="00BB137B" w:rsidRPr="00DD36B0" w:rsidRDefault="00BB137B" w:rsidP="00BB137B">
      <w:pPr>
        <w:autoSpaceDE w:val="0"/>
        <w:autoSpaceDN w:val="0"/>
        <w:adjustRightInd w:val="0"/>
        <w:spacing w:after="0" w:line="240" w:lineRule="auto"/>
        <w:rPr>
          <w:rFonts w:asciiTheme="minorBidi" w:hAnsiTheme="minorBidi"/>
          <w:lang w:eastAsia="zh-CN"/>
        </w:rPr>
      </w:pPr>
    </w:p>
    <w:p w14:paraId="08A6C81A" w14:textId="77777777" w:rsidR="00BB137B" w:rsidRPr="004D570A" w:rsidRDefault="00BB137B" w:rsidP="009D3B83">
      <w:pPr>
        <w:pStyle w:val="ListParagraph"/>
        <w:numPr>
          <w:ilvl w:val="0"/>
          <w:numId w:val="5"/>
        </w:numPr>
        <w:autoSpaceDE w:val="0"/>
        <w:autoSpaceDN w:val="0"/>
        <w:adjustRightInd w:val="0"/>
        <w:spacing w:after="0" w:line="240" w:lineRule="auto"/>
        <w:ind w:hanging="720"/>
        <w:rPr>
          <w:rFonts w:asciiTheme="minorBidi" w:hAnsiTheme="minorBidi"/>
          <w:lang w:eastAsia="zh-CN"/>
        </w:rPr>
      </w:pPr>
      <w:r w:rsidRPr="004D570A">
        <w:rPr>
          <w:rFonts w:asciiTheme="minorBidi" w:hAnsiTheme="minorBidi"/>
          <w:lang w:eastAsia="zh-CN"/>
        </w:rPr>
        <w:t>Applicants should contact Admissions before applying as not all programmes are able to accept direct entrants.</w:t>
      </w:r>
    </w:p>
    <w:p w14:paraId="01575588" w14:textId="77777777" w:rsidR="00BB137B" w:rsidRPr="00DD36B0" w:rsidRDefault="00BB137B" w:rsidP="00BB137B">
      <w:pPr>
        <w:autoSpaceDE w:val="0"/>
        <w:autoSpaceDN w:val="0"/>
        <w:adjustRightInd w:val="0"/>
        <w:spacing w:after="0" w:line="240" w:lineRule="auto"/>
        <w:rPr>
          <w:rFonts w:asciiTheme="minorBidi" w:hAnsiTheme="minorBidi"/>
          <w:color w:val="000000" w:themeColor="text1"/>
        </w:rPr>
      </w:pPr>
    </w:p>
    <w:p w14:paraId="0E78EBD8" w14:textId="3E269B67" w:rsidR="00BB137B" w:rsidRPr="004D570A" w:rsidRDefault="00BB137B" w:rsidP="00B64A53">
      <w:pPr>
        <w:pStyle w:val="ListParagraph"/>
        <w:numPr>
          <w:ilvl w:val="0"/>
          <w:numId w:val="5"/>
        </w:numPr>
        <w:spacing w:after="0" w:line="240" w:lineRule="auto"/>
        <w:ind w:hanging="720"/>
        <w:rPr>
          <w:rStyle w:val="Hyperlink"/>
          <w:rFonts w:asciiTheme="minorBidi" w:hAnsiTheme="minorBidi"/>
        </w:rPr>
      </w:pPr>
      <w:r w:rsidRPr="004D570A">
        <w:rPr>
          <w:rFonts w:asciiTheme="minorBidi" w:hAnsiTheme="minorBidi"/>
          <w:lang w:eastAsia="zh-CN"/>
        </w:rPr>
        <w:t xml:space="preserve">Further information can be found in </w:t>
      </w:r>
      <w:r w:rsidRPr="000D3D13">
        <w:rPr>
          <w:rFonts w:asciiTheme="minorBidi" w:hAnsiTheme="minorBidi"/>
          <w:lang w:eastAsia="zh-CN"/>
        </w:rPr>
        <w:t>the</w:t>
      </w:r>
      <w:r w:rsidRPr="000D3D13">
        <w:rPr>
          <w:rFonts w:asciiTheme="minorBidi" w:hAnsiTheme="minorBidi"/>
          <w:i/>
          <w:iCs/>
          <w:lang w:eastAsia="zh-CN"/>
        </w:rPr>
        <w:t xml:space="preserve"> </w:t>
      </w:r>
      <w:hyperlink r:id="rId28" w:history="1">
        <w:r w:rsidRPr="000D3D13">
          <w:rPr>
            <w:rStyle w:val="Hyperlink"/>
            <w:rFonts w:asciiTheme="minorBidi" w:hAnsiTheme="minorBidi"/>
            <w:i/>
            <w:iCs/>
          </w:rPr>
          <w:t>Code of practice for the recognition of prior learning and prior credit: taught programmes</w:t>
        </w:r>
      </w:hyperlink>
      <w:r w:rsidRPr="004D570A">
        <w:rPr>
          <w:rStyle w:val="Hyperlink"/>
          <w:rFonts w:asciiTheme="minorBidi" w:hAnsiTheme="minorBidi"/>
        </w:rPr>
        <w:t>.</w:t>
      </w:r>
    </w:p>
    <w:p w14:paraId="4FFC821B" w14:textId="77777777" w:rsidR="00BB137B" w:rsidRPr="00DD36B0" w:rsidRDefault="00BB137B" w:rsidP="00BB137B">
      <w:pPr>
        <w:spacing w:after="0" w:line="240" w:lineRule="auto"/>
        <w:rPr>
          <w:rFonts w:asciiTheme="minorBidi" w:hAnsiTheme="minorBidi"/>
          <w:lang w:eastAsia="zh-CN"/>
        </w:rPr>
      </w:pPr>
    </w:p>
    <w:p w14:paraId="25181379" w14:textId="7A438390" w:rsidR="00BB137B" w:rsidRPr="00DD36B0" w:rsidRDefault="00BB137B" w:rsidP="004D570A">
      <w:pPr>
        <w:pStyle w:val="Heading1"/>
        <w:ind w:left="360"/>
      </w:pPr>
      <w:bookmarkStart w:id="14" w:name="_Toc115084526"/>
      <w:r w:rsidRPr="00DD36B0">
        <w:t>Plagiarism</w:t>
      </w:r>
      <w:bookmarkEnd w:id="14"/>
    </w:p>
    <w:p w14:paraId="27AFDA08" w14:textId="77777777" w:rsidR="00BB137B" w:rsidRPr="004D570A" w:rsidRDefault="00BB137B" w:rsidP="009D3B83">
      <w:pPr>
        <w:pStyle w:val="ListParagraph"/>
        <w:numPr>
          <w:ilvl w:val="0"/>
          <w:numId w:val="5"/>
        </w:numPr>
        <w:autoSpaceDE w:val="0"/>
        <w:autoSpaceDN w:val="0"/>
        <w:adjustRightInd w:val="0"/>
        <w:spacing w:after="0" w:line="240" w:lineRule="auto"/>
        <w:ind w:hanging="720"/>
        <w:rPr>
          <w:rFonts w:asciiTheme="minorBidi" w:hAnsiTheme="minorBidi"/>
          <w:color w:val="000000" w:themeColor="text1"/>
        </w:rPr>
      </w:pPr>
      <w:r w:rsidRPr="004D570A">
        <w:rPr>
          <w:rFonts w:asciiTheme="minorBidi" w:hAnsiTheme="minorBidi"/>
          <w:color w:val="000000" w:themeColor="text1"/>
        </w:rPr>
        <w:t>UCAS carries out checks on each personal statement for potential plagiarism (</w:t>
      </w:r>
      <w:r w:rsidRPr="004D570A">
        <w:rPr>
          <w:rFonts w:asciiTheme="minorBidi" w:hAnsiTheme="minorBidi"/>
          <w:lang w:eastAsia="zh-CN"/>
        </w:rPr>
        <w:t>the copying of material without appropriate acknowledgement)</w:t>
      </w:r>
      <w:r w:rsidRPr="004D570A">
        <w:rPr>
          <w:rFonts w:asciiTheme="minorBidi" w:hAnsiTheme="minorBidi"/>
          <w:color w:val="000000" w:themeColor="text1"/>
        </w:rPr>
        <w:t xml:space="preserve">. Where evidence of plagiarism is found, UCAS will notify both the applicant concerned and the University of Surrey. The University reserves the right to reject applicants who are identified through this process. </w:t>
      </w:r>
    </w:p>
    <w:p w14:paraId="204C2CEA" w14:textId="77777777" w:rsidR="00BB137B" w:rsidRPr="00DD36B0" w:rsidRDefault="00BB137B" w:rsidP="00BB137B">
      <w:pPr>
        <w:spacing w:after="0" w:line="240" w:lineRule="auto"/>
        <w:rPr>
          <w:rFonts w:asciiTheme="minorBidi" w:hAnsiTheme="minorBidi"/>
          <w:color w:val="000000" w:themeColor="text1"/>
        </w:rPr>
      </w:pPr>
    </w:p>
    <w:p w14:paraId="2563D5D7" w14:textId="728316EE" w:rsidR="00BB137B" w:rsidRPr="00DD36B0" w:rsidRDefault="00BB137B" w:rsidP="004D570A">
      <w:pPr>
        <w:pStyle w:val="Heading1"/>
        <w:ind w:left="360"/>
      </w:pPr>
      <w:bookmarkStart w:id="15" w:name="_Toc115084527"/>
      <w:r w:rsidRPr="00DD36B0">
        <w:t>Feedback</w:t>
      </w:r>
      <w:bookmarkEnd w:id="15"/>
    </w:p>
    <w:p w14:paraId="020F61DD" w14:textId="77777777" w:rsidR="00BB137B" w:rsidRPr="004D570A" w:rsidRDefault="00BB137B" w:rsidP="00B64A53">
      <w:pPr>
        <w:pStyle w:val="ListParagraph"/>
        <w:numPr>
          <w:ilvl w:val="0"/>
          <w:numId w:val="5"/>
        </w:numPr>
        <w:spacing w:after="0" w:line="240" w:lineRule="auto"/>
        <w:ind w:hanging="720"/>
        <w:rPr>
          <w:rFonts w:asciiTheme="minorBidi" w:hAnsiTheme="minorBidi"/>
          <w:color w:val="000000" w:themeColor="text1"/>
        </w:rPr>
      </w:pPr>
      <w:r w:rsidRPr="004D570A">
        <w:rPr>
          <w:rFonts w:asciiTheme="minorBidi" w:hAnsiTheme="minorBidi"/>
          <w:color w:val="000000" w:themeColor="text1"/>
        </w:rPr>
        <w:t xml:space="preserve">The University will provide feedback on request, within the constraints of resources available. There may be cases where highly specific or tailored feedback may not be possible. Applicants must be aware that feedback will only be given directly to them, unless the University has received written permission that the applicant is willing for the matter to be discussed with another individual. </w:t>
      </w:r>
    </w:p>
    <w:p w14:paraId="232A1D13" w14:textId="77777777" w:rsidR="00BB137B" w:rsidRPr="00DD36B0" w:rsidRDefault="00BB137B" w:rsidP="00BB137B">
      <w:pPr>
        <w:spacing w:after="0" w:line="240" w:lineRule="auto"/>
        <w:rPr>
          <w:rFonts w:asciiTheme="minorBidi" w:hAnsiTheme="minorBidi"/>
          <w:color w:val="000000" w:themeColor="text1"/>
        </w:rPr>
      </w:pPr>
    </w:p>
    <w:p w14:paraId="17C6331A" w14:textId="45F54E57" w:rsidR="00BB137B" w:rsidRPr="00DD36B0" w:rsidRDefault="00BB137B" w:rsidP="004D570A">
      <w:pPr>
        <w:pStyle w:val="Heading1"/>
        <w:ind w:left="360"/>
      </w:pPr>
      <w:bookmarkStart w:id="16" w:name="_Toc115084528"/>
      <w:r w:rsidRPr="00DD36B0">
        <w:t>Applicant</w:t>
      </w:r>
      <w:r w:rsidR="000D3D13">
        <w:t>’s</w:t>
      </w:r>
      <w:r w:rsidRPr="00DD36B0">
        <w:t xml:space="preserve"> conduct</w:t>
      </w:r>
      <w:bookmarkEnd w:id="16"/>
    </w:p>
    <w:p w14:paraId="29A32C70" w14:textId="77777777" w:rsidR="00BB137B" w:rsidRPr="004D570A" w:rsidRDefault="00BB137B" w:rsidP="00B64A53">
      <w:pPr>
        <w:pStyle w:val="ListParagraph"/>
        <w:numPr>
          <w:ilvl w:val="0"/>
          <w:numId w:val="5"/>
        </w:numPr>
        <w:autoSpaceDE w:val="0"/>
        <w:autoSpaceDN w:val="0"/>
        <w:adjustRightInd w:val="0"/>
        <w:spacing w:after="0" w:line="240" w:lineRule="auto"/>
        <w:ind w:hanging="720"/>
        <w:rPr>
          <w:rFonts w:asciiTheme="minorBidi" w:hAnsiTheme="minorBidi"/>
          <w:lang w:eastAsia="zh-CN"/>
        </w:rPr>
      </w:pPr>
      <w:r w:rsidRPr="004D570A">
        <w:rPr>
          <w:rFonts w:asciiTheme="minorBidi" w:hAnsiTheme="minorBidi"/>
          <w:lang w:eastAsia="zh-CN"/>
        </w:rPr>
        <w:t>Applicants and their representatives should note that the University will not tolerate inappropriate behaviour or language towards its employees or other applicants during the admissions process. Hostile or otherwise inappropriate behaviour or language, whether expressed verbally or in writing, will be viewed seriously and may adversely affect the consideration of an application, appeal or complaint. Such action may include the withdrawal of an offer or the rejection of an application.</w:t>
      </w:r>
    </w:p>
    <w:p w14:paraId="73EC7CCE" w14:textId="77777777" w:rsidR="00BB137B" w:rsidRPr="00DD36B0" w:rsidRDefault="00BB137B" w:rsidP="00BB137B">
      <w:pPr>
        <w:spacing w:after="0" w:line="240" w:lineRule="auto"/>
        <w:rPr>
          <w:rFonts w:asciiTheme="minorBidi" w:hAnsiTheme="minorBidi"/>
          <w:color w:val="000000" w:themeColor="text1"/>
        </w:rPr>
      </w:pPr>
    </w:p>
    <w:p w14:paraId="527CECE9" w14:textId="1037091C" w:rsidR="00BB137B" w:rsidRPr="00DD36B0" w:rsidRDefault="00BB137B" w:rsidP="004D570A">
      <w:pPr>
        <w:pStyle w:val="Heading1"/>
        <w:ind w:left="360"/>
      </w:pPr>
      <w:bookmarkStart w:id="17" w:name="_Toc115084529"/>
      <w:r w:rsidRPr="00DD36B0">
        <w:lastRenderedPageBreak/>
        <w:t>Age on entry</w:t>
      </w:r>
      <w:bookmarkEnd w:id="17"/>
    </w:p>
    <w:p w14:paraId="1D998D13" w14:textId="6A249D93" w:rsidR="00BB137B" w:rsidRPr="004D570A" w:rsidRDefault="00BB137B" w:rsidP="00B64A53">
      <w:pPr>
        <w:pStyle w:val="ListParagraph"/>
        <w:numPr>
          <w:ilvl w:val="0"/>
          <w:numId w:val="5"/>
        </w:numPr>
        <w:spacing w:after="0" w:line="240" w:lineRule="auto"/>
        <w:ind w:hanging="720"/>
        <w:rPr>
          <w:rFonts w:asciiTheme="minorBidi" w:hAnsiTheme="minorBidi"/>
        </w:rPr>
      </w:pPr>
      <w:r w:rsidRPr="004D570A">
        <w:rPr>
          <w:rFonts w:asciiTheme="minorBidi" w:hAnsiTheme="minorBidi"/>
        </w:rPr>
        <w:t>Students aged 16 or 17 at enrolment are usually welcome to apply</w:t>
      </w:r>
      <w:r w:rsidR="00875B97">
        <w:rPr>
          <w:rFonts w:asciiTheme="minorBidi" w:hAnsiTheme="minorBidi"/>
        </w:rPr>
        <w:t>;</w:t>
      </w:r>
      <w:r w:rsidRPr="004D570A">
        <w:rPr>
          <w:rFonts w:asciiTheme="minorBidi" w:hAnsiTheme="minorBidi"/>
        </w:rPr>
        <w:t xml:space="preserve"> however, this can differ by programme, as some programmes of study are bound by external professional or placement requirements concerning age. Offers for undergraduate programmes are normally made on the basis of national qualifications which will be obtained by the age of 17/18. Applicants who will be under the age of 16 on entry are not permitted to enrol at the University. Any such applicants will, where appropriate, be offered a deferred entry place. If this is not possible the application will be rejected. There is no upper age limit. </w:t>
      </w:r>
    </w:p>
    <w:p w14:paraId="26C5D0FE" w14:textId="77777777" w:rsidR="00BB137B" w:rsidRPr="00DD36B0" w:rsidRDefault="00BB137B" w:rsidP="00BB137B">
      <w:pPr>
        <w:spacing w:after="0" w:line="240" w:lineRule="auto"/>
        <w:rPr>
          <w:rFonts w:asciiTheme="minorBidi" w:hAnsiTheme="minorBidi"/>
        </w:rPr>
      </w:pPr>
    </w:p>
    <w:p w14:paraId="0DEF77DE" w14:textId="6A0884A4" w:rsidR="00BB137B" w:rsidRPr="004D570A" w:rsidRDefault="00BB137B" w:rsidP="00B64A53">
      <w:pPr>
        <w:pStyle w:val="ListParagraph"/>
        <w:numPr>
          <w:ilvl w:val="0"/>
          <w:numId w:val="5"/>
        </w:numPr>
        <w:spacing w:after="0" w:line="240" w:lineRule="auto"/>
        <w:ind w:hanging="720"/>
        <w:rPr>
          <w:rFonts w:asciiTheme="minorBidi" w:hAnsiTheme="minorBidi"/>
        </w:rPr>
      </w:pPr>
      <w:r w:rsidRPr="004D570A">
        <w:rPr>
          <w:rFonts w:asciiTheme="minorBidi" w:hAnsiTheme="minorBidi"/>
        </w:rPr>
        <w:t xml:space="preserve">The University does not accept an in loco parentis responsibility for children (i.e. those under 18 years of age at entry). The University does, however, recognise that it has special duties of care towards children and is committed to practice that protects children, young people and vulnerable adults from harm. The University seeks to take every reasonable step to safeguard children by adopting child protection guidelines through a code of behaviour and following appropriate procedures for the vetting and training of people who work directly with children and young people. Further details can be found </w:t>
      </w:r>
      <w:hyperlink r:id="rId29" w:history="1">
        <w:r w:rsidRPr="00106E4A">
          <w:rPr>
            <w:rStyle w:val="Hyperlink"/>
            <w:rFonts w:asciiTheme="minorBidi" w:hAnsiTheme="minorBidi"/>
          </w:rPr>
          <w:t>here</w:t>
        </w:r>
      </w:hyperlink>
      <w:r w:rsidRPr="004D570A">
        <w:rPr>
          <w:rFonts w:asciiTheme="minorBidi" w:hAnsiTheme="minorBidi"/>
        </w:rPr>
        <w:t>.</w:t>
      </w:r>
    </w:p>
    <w:p w14:paraId="36D64016" w14:textId="77777777" w:rsidR="00BB137B" w:rsidRDefault="00BB137B" w:rsidP="00BB137B">
      <w:pPr>
        <w:spacing w:after="0" w:line="240" w:lineRule="auto"/>
        <w:rPr>
          <w:color w:val="000000" w:themeColor="text1"/>
        </w:rPr>
      </w:pPr>
    </w:p>
    <w:p w14:paraId="5236E015" w14:textId="4CD0D619" w:rsidR="00BB137B" w:rsidRPr="00BB137B" w:rsidRDefault="00BB137B" w:rsidP="004D570A">
      <w:pPr>
        <w:pStyle w:val="Heading1"/>
        <w:ind w:left="360"/>
      </w:pPr>
      <w:bookmarkStart w:id="18" w:name="_Toc115084530"/>
      <w:r w:rsidRPr="00BB137B">
        <w:t>Fair access</w:t>
      </w:r>
      <w:bookmarkEnd w:id="18"/>
    </w:p>
    <w:p w14:paraId="027776AA" w14:textId="1DA7A649" w:rsidR="00BB137B" w:rsidRPr="00BB137B" w:rsidRDefault="00BB137B" w:rsidP="004D570A">
      <w:pPr>
        <w:pStyle w:val="Heading2"/>
        <w:ind w:left="360"/>
        <w:rPr>
          <w:lang w:eastAsia="en-GB"/>
        </w:rPr>
      </w:pPr>
      <w:bookmarkStart w:id="19" w:name="_Toc115084531"/>
      <w:r w:rsidRPr="00BB137B">
        <w:rPr>
          <w:lang w:eastAsia="en-GB"/>
        </w:rPr>
        <w:t>Mature</w:t>
      </w:r>
      <w:bookmarkEnd w:id="19"/>
      <w:r w:rsidRPr="00BB137B">
        <w:rPr>
          <w:lang w:eastAsia="en-GB"/>
        </w:rPr>
        <w:t xml:space="preserve"> </w:t>
      </w:r>
    </w:p>
    <w:p w14:paraId="3C100072" w14:textId="77777777" w:rsidR="00BB137B" w:rsidRDefault="00BB137B" w:rsidP="009D3B83">
      <w:pPr>
        <w:pStyle w:val="NoSpacing"/>
        <w:numPr>
          <w:ilvl w:val="0"/>
          <w:numId w:val="5"/>
        </w:numPr>
        <w:ind w:hanging="720"/>
        <w:rPr>
          <w:lang w:val="en" w:eastAsia="en-GB"/>
        </w:rPr>
      </w:pPr>
      <w:r w:rsidRPr="008E05B8">
        <w:rPr>
          <w:lang w:val="en" w:eastAsia="en-GB"/>
        </w:rPr>
        <w:t>The University encourages applications from mature students, believing that mature students mak</w:t>
      </w:r>
      <w:r>
        <w:rPr>
          <w:lang w:val="en" w:eastAsia="en-GB"/>
        </w:rPr>
        <w:t>e an important contribution to u</w:t>
      </w:r>
      <w:r w:rsidRPr="008E05B8">
        <w:rPr>
          <w:lang w:val="en" w:eastAsia="en-GB"/>
        </w:rPr>
        <w:t xml:space="preserve">niversity life through their range of experience and qualifications. Anyone beginning an undergraduate programme who is aged 21 or over is classified as a mature student. Mature applicants may satisfy the entry requirements through standard academic qualifications. However, the University gives careful consideration to those who can provide evidence of their commitment to academic study through a range of other awards and experience. </w:t>
      </w:r>
    </w:p>
    <w:p w14:paraId="4CEDE118" w14:textId="77777777" w:rsidR="00BB137B" w:rsidRPr="008E05B8" w:rsidRDefault="00BB137B" w:rsidP="00BB137B">
      <w:pPr>
        <w:pStyle w:val="NoSpacing"/>
        <w:rPr>
          <w:lang w:val="en" w:eastAsia="en-GB"/>
        </w:rPr>
      </w:pPr>
    </w:p>
    <w:p w14:paraId="5CE131BB" w14:textId="50352464" w:rsidR="00BB137B" w:rsidRPr="00BB137B" w:rsidRDefault="00BB137B" w:rsidP="004D570A">
      <w:pPr>
        <w:pStyle w:val="Heading2"/>
        <w:ind w:left="360"/>
        <w:rPr>
          <w:lang w:eastAsia="en-GB"/>
        </w:rPr>
      </w:pPr>
      <w:bookmarkStart w:id="20" w:name="_Toc115084532"/>
      <w:r w:rsidRPr="00BB137B">
        <w:rPr>
          <w:lang w:eastAsia="en-GB"/>
        </w:rPr>
        <w:t>Widening Participation and Outreach</w:t>
      </w:r>
      <w:bookmarkEnd w:id="20"/>
      <w:r w:rsidRPr="00BB137B">
        <w:rPr>
          <w:lang w:eastAsia="en-GB"/>
        </w:rPr>
        <w:t xml:space="preserve"> </w:t>
      </w:r>
    </w:p>
    <w:p w14:paraId="463DAEDF" w14:textId="77777777" w:rsidR="00BB137B" w:rsidRPr="004D570A" w:rsidRDefault="00BB137B" w:rsidP="009D3B83">
      <w:pPr>
        <w:pStyle w:val="ListParagraph"/>
        <w:numPr>
          <w:ilvl w:val="0"/>
          <w:numId w:val="5"/>
        </w:numPr>
        <w:autoSpaceDE w:val="0"/>
        <w:autoSpaceDN w:val="0"/>
        <w:adjustRightInd w:val="0"/>
        <w:spacing w:after="0" w:line="240" w:lineRule="auto"/>
        <w:ind w:hanging="720"/>
        <w:rPr>
          <w:rFonts w:asciiTheme="minorBidi" w:hAnsiTheme="minorBidi"/>
          <w:color w:val="000000"/>
          <w:lang w:eastAsia="zh-CN"/>
        </w:rPr>
      </w:pPr>
      <w:r w:rsidRPr="004D570A">
        <w:rPr>
          <w:rFonts w:asciiTheme="minorBidi" w:hAnsiTheme="minorBidi"/>
          <w:color w:val="000000"/>
          <w:lang w:eastAsia="zh-CN"/>
        </w:rPr>
        <w:t>The University of Surrey has a strong commitment to providing opportunities for talented students from all backgrounds. The Widening Participation and Outreach teams are involved in a variety of projects and initiatives which aim to redress inequality by providing targeted support to under</w:t>
      </w:r>
      <w:r w:rsidRPr="004D570A">
        <w:rPr>
          <w:rFonts w:ascii="Cambria Math" w:hAnsi="Cambria Math" w:cs="Cambria Math"/>
          <w:color w:val="000000"/>
          <w:lang w:eastAsia="zh-CN"/>
        </w:rPr>
        <w:t>‐</w:t>
      </w:r>
      <w:r w:rsidRPr="004D570A">
        <w:rPr>
          <w:rFonts w:asciiTheme="minorBidi" w:hAnsiTheme="minorBidi"/>
          <w:color w:val="000000"/>
          <w:lang w:eastAsia="zh-CN"/>
        </w:rPr>
        <w:t xml:space="preserve">represented groups. </w:t>
      </w:r>
    </w:p>
    <w:p w14:paraId="476A75FB" w14:textId="77777777" w:rsidR="00BB137B" w:rsidRPr="00B557FF" w:rsidRDefault="00BB137B" w:rsidP="00BB137B">
      <w:pPr>
        <w:autoSpaceDE w:val="0"/>
        <w:autoSpaceDN w:val="0"/>
        <w:adjustRightInd w:val="0"/>
        <w:spacing w:after="0" w:line="240" w:lineRule="auto"/>
        <w:rPr>
          <w:rFonts w:asciiTheme="minorBidi" w:hAnsiTheme="minorBidi"/>
          <w:color w:val="000000"/>
          <w:lang w:eastAsia="zh-CN"/>
        </w:rPr>
      </w:pPr>
    </w:p>
    <w:p w14:paraId="5A3CF746" w14:textId="77777777" w:rsidR="00BB137B" w:rsidRPr="004D570A" w:rsidRDefault="00BB137B" w:rsidP="009D3B83">
      <w:pPr>
        <w:pStyle w:val="ListParagraph"/>
        <w:numPr>
          <w:ilvl w:val="0"/>
          <w:numId w:val="5"/>
        </w:numPr>
        <w:autoSpaceDE w:val="0"/>
        <w:autoSpaceDN w:val="0"/>
        <w:adjustRightInd w:val="0"/>
        <w:spacing w:after="0" w:line="240" w:lineRule="auto"/>
        <w:ind w:hanging="720"/>
        <w:rPr>
          <w:rFonts w:asciiTheme="minorBidi" w:hAnsiTheme="minorBidi"/>
          <w:color w:val="000000"/>
          <w:lang w:eastAsia="zh-CN"/>
        </w:rPr>
      </w:pPr>
      <w:r w:rsidRPr="004D570A">
        <w:rPr>
          <w:rFonts w:asciiTheme="minorBidi" w:hAnsiTheme="minorBidi"/>
          <w:color w:val="000000"/>
          <w:lang w:eastAsia="zh-CN"/>
        </w:rPr>
        <w:t xml:space="preserve">Further information on the University’s activities in this area may be found at: </w:t>
      </w:r>
      <w:hyperlink r:id="rId30" w:history="1">
        <w:r w:rsidRPr="004D570A">
          <w:rPr>
            <w:rStyle w:val="Hyperlink"/>
            <w:rFonts w:asciiTheme="minorBidi" w:hAnsiTheme="minorBidi"/>
            <w:lang w:eastAsia="zh-CN"/>
          </w:rPr>
          <w:t>surrey.ac.uk/schools-colleges</w:t>
        </w:r>
      </w:hyperlink>
    </w:p>
    <w:p w14:paraId="6FE71124" w14:textId="77777777" w:rsidR="00BB137B" w:rsidRPr="004D3F0A" w:rsidRDefault="00BB137B" w:rsidP="00BB137B">
      <w:pPr>
        <w:autoSpaceDE w:val="0"/>
        <w:autoSpaceDN w:val="0"/>
        <w:adjustRightInd w:val="0"/>
        <w:spacing w:after="0" w:line="240" w:lineRule="auto"/>
        <w:rPr>
          <w:rFonts w:asciiTheme="minorBidi" w:hAnsiTheme="minorBidi"/>
          <w:lang w:eastAsia="zh-CN"/>
        </w:rPr>
      </w:pPr>
    </w:p>
    <w:p w14:paraId="0E8994AE" w14:textId="77777777" w:rsidR="00BB137B" w:rsidRPr="004D570A" w:rsidRDefault="00BB137B" w:rsidP="009D3B83">
      <w:pPr>
        <w:pStyle w:val="ListParagraph"/>
        <w:numPr>
          <w:ilvl w:val="0"/>
          <w:numId w:val="5"/>
        </w:numPr>
        <w:autoSpaceDE w:val="0"/>
        <w:autoSpaceDN w:val="0"/>
        <w:adjustRightInd w:val="0"/>
        <w:spacing w:after="0" w:line="240" w:lineRule="auto"/>
        <w:ind w:hanging="720"/>
        <w:rPr>
          <w:rFonts w:asciiTheme="minorBidi" w:hAnsiTheme="minorBidi"/>
          <w:color w:val="000000" w:themeColor="text1"/>
        </w:rPr>
      </w:pPr>
      <w:r w:rsidRPr="004D570A">
        <w:rPr>
          <w:rFonts w:asciiTheme="minorBidi" w:hAnsiTheme="minorBidi"/>
          <w:color w:val="000000"/>
          <w:lang w:eastAsia="zh-CN"/>
        </w:rPr>
        <w:t xml:space="preserve">The University produces an access and participation plan each year, which represents the University’s overarching widening participation strategy. A copy of the University’s access and participation plan can be found on the website for the Office for Students at: </w:t>
      </w:r>
      <w:hyperlink r:id="rId31" w:history="1">
        <w:r w:rsidRPr="004D570A">
          <w:rPr>
            <w:rStyle w:val="Hyperlink"/>
            <w:rFonts w:asciiTheme="minorBidi" w:hAnsiTheme="minorBidi"/>
          </w:rPr>
          <w:t>officeforstudents.org.uk/advice-and-guidance/promoting-equal-opportunities/access-and-participation-plans</w:t>
        </w:r>
      </w:hyperlink>
    </w:p>
    <w:p w14:paraId="4F19A1C4" w14:textId="77777777" w:rsidR="00BB137B" w:rsidRDefault="00BB137B" w:rsidP="00BB137B">
      <w:pPr>
        <w:autoSpaceDE w:val="0"/>
        <w:autoSpaceDN w:val="0"/>
        <w:adjustRightInd w:val="0"/>
        <w:spacing w:after="0" w:line="240" w:lineRule="auto"/>
        <w:rPr>
          <w:rFonts w:cs="Calibri"/>
          <w:color w:val="000000"/>
          <w:lang w:eastAsia="zh-CN"/>
        </w:rPr>
      </w:pPr>
    </w:p>
    <w:p w14:paraId="5CE6EF7D" w14:textId="03889E93" w:rsidR="00BB137B" w:rsidRPr="00BB137B" w:rsidRDefault="00BB137B" w:rsidP="004D570A">
      <w:pPr>
        <w:pStyle w:val="Heading2"/>
        <w:ind w:left="360"/>
        <w:rPr>
          <w:lang w:eastAsia="en-GB"/>
        </w:rPr>
      </w:pPr>
      <w:bookmarkStart w:id="21" w:name="_Toc115084533"/>
      <w:r w:rsidRPr="00BB137B">
        <w:rPr>
          <w:lang w:eastAsia="en-GB"/>
        </w:rPr>
        <w:t>Contextual Admissions</w:t>
      </w:r>
      <w:bookmarkEnd w:id="21"/>
    </w:p>
    <w:p w14:paraId="227E760A" w14:textId="77777777" w:rsidR="00BB137B" w:rsidRPr="004D570A" w:rsidRDefault="00BB137B" w:rsidP="009D3B83">
      <w:pPr>
        <w:pStyle w:val="ListParagraph"/>
        <w:numPr>
          <w:ilvl w:val="0"/>
          <w:numId w:val="5"/>
        </w:numPr>
        <w:autoSpaceDE w:val="0"/>
        <w:autoSpaceDN w:val="0"/>
        <w:adjustRightInd w:val="0"/>
        <w:spacing w:after="0" w:line="240" w:lineRule="auto"/>
        <w:ind w:hanging="720"/>
        <w:rPr>
          <w:rFonts w:asciiTheme="minorBidi" w:eastAsia="Times New Roman" w:hAnsiTheme="minorBidi"/>
          <w:color w:val="000000" w:themeColor="text1"/>
          <w:lang w:val="en" w:eastAsia="en-GB"/>
        </w:rPr>
      </w:pPr>
      <w:r w:rsidRPr="004D570A">
        <w:rPr>
          <w:rFonts w:asciiTheme="minorBidi" w:eastAsia="Times New Roman" w:hAnsiTheme="minorBidi"/>
          <w:color w:val="000000" w:themeColor="text1"/>
          <w:lang w:val="en" w:eastAsia="en-GB"/>
        </w:rPr>
        <w:t xml:space="preserve">Contextual Admissions refers to the additional information to academic qualifications such as school performance data and socio-economic markers that helps universities identify an individual applicant’s potential to succeed in higher education. Applicants that meet one or more of our criteria listed in our Contextual Admissions webpage will likely receive up to one grade reduction of their offer. </w:t>
      </w:r>
    </w:p>
    <w:p w14:paraId="68831920" w14:textId="77777777" w:rsidR="00BB137B" w:rsidRPr="00B557FF" w:rsidRDefault="00BB137B" w:rsidP="00BB137B">
      <w:pPr>
        <w:autoSpaceDE w:val="0"/>
        <w:autoSpaceDN w:val="0"/>
        <w:adjustRightInd w:val="0"/>
        <w:spacing w:after="0" w:line="240" w:lineRule="auto"/>
        <w:rPr>
          <w:rFonts w:asciiTheme="minorBidi" w:eastAsia="Times New Roman" w:hAnsiTheme="minorBidi"/>
          <w:color w:val="000000" w:themeColor="text1"/>
          <w:lang w:val="en" w:eastAsia="en-GB"/>
        </w:rPr>
      </w:pPr>
    </w:p>
    <w:p w14:paraId="0867C302" w14:textId="70F0A625" w:rsidR="00BB137B" w:rsidRPr="00BB137B" w:rsidRDefault="00BB137B" w:rsidP="004D570A">
      <w:pPr>
        <w:pStyle w:val="Heading2"/>
        <w:ind w:left="360"/>
        <w:rPr>
          <w:lang w:eastAsia="en-GB"/>
        </w:rPr>
      </w:pPr>
      <w:bookmarkStart w:id="22" w:name="_Toc115084534"/>
      <w:r w:rsidRPr="00BB137B">
        <w:rPr>
          <w:lang w:eastAsia="en-GB"/>
        </w:rPr>
        <w:lastRenderedPageBreak/>
        <w:t>In2Surrey scheme</w:t>
      </w:r>
      <w:bookmarkEnd w:id="22"/>
    </w:p>
    <w:p w14:paraId="0FB0EA2A" w14:textId="77777777" w:rsidR="00BB137B" w:rsidRPr="004D570A" w:rsidRDefault="00BB137B" w:rsidP="009D3B83">
      <w:pPr>
        <w:pStyle w:val="ListParagraph"/>
        <w:numPr>
          <w:ilvl w:val="0"/>
          <w:numId w:val="5"/>
        </w:numPr>
        <w:autoSpaceDE w:val="0"/>
        <w:autoSpaceDN w:val="0"/>
        <w:adjustRightInd w:val="0"/>
        <w:spacing w:after="0" w:line="240" w:lineRule="auto"/>
        <w:ind w:hanging="720"/>
        <w:rPr>
          <w:rFonts w:asciiTheme="minorBidi" w:eastAsia="Times New Roman" w:hAnsiTheme="minorBidi"/>
          <w:color w:val="000000" w:themeColor="text1"/>
          <w:lang w:val="en" w:eastAsia="en-GB"/>
        </w:rPr>
      </w:pPr>
      <w:r w:rsidRPr="004D570A">
        <w:rPr>
          <w:rFonts w:asciiTheme="minorBidi" w:eastAsia="Times New Roman" w:hAnsiTheme="minorBidi"/>
          <w:color w:val="000000" w:themeColor="text1"/>
          <w:lang w:val="en" w:eastAsia="en-GB"/>
        </w:rPr>
        <w:t xml:space="preserve">The </w:t>
      </w:r>
      <w:hyperlink r:id="rId32" w:history="1">
        <w:r w:rsidRPr="004D570A">
          <w:rPr>
            <w:rStyle w:val="Hyperlink"/>
            <w:rFonts w:asciiTheme="minorBidi" w:eastAsia="Times New Roman" w:hAnsiTheme="minorBidi"/>
            <w:lang w:val="en" w:eastAsia="en-GB"/>
          </w:rPr>
          <w:t>In2Surrey scheme</w:t>
        </w:r>
      </w:hyperlink>
      <w:r w:rsidRPr="004D570A">
        <w:rPr>
          <w:rFonts w:asciiTheme="minorBidi" w:eastAsia="Times New Roman" w:hAnsiTheme="minorBidi"/>
          <w:color w:val="000000" w:themeColor="text1"/>
          <w:lang w:val="en" w:eastAsia="en-GB"/>
        </w:rPr>
        <w:t xml:space="preserve"> is part of the University’s Widening Participation programme. The scheme is designed for students who have the ability and desire to study at the University of Surrey and achieve their goals regardless of their personal circumstances and can lead to a reduced offer and other benefits. The In2Surrey Scheme cannot be used alongside any other grade reduction scheme.</w:t>
      </w:r>
    </w:p>
    <w:p w14:paraId="1113F6D9" w14:textId="77777777" w:rsidR="00BB137B" w:rsidRDefault="00BB137B" w:rsidP="00BB137B">
      <w:pPr>
        <w:autoSpaceDE w:val="0"/>
        <w:autoSpaceDN w:val="0"/>
        <w:adjustRightInd w:val="0"/>
        <w:spacing w:after="0" w:line="240" w:lineRule="auto"/>
        <w:rPr>
          <w:rFonts w:eastAsia="Times New Roman" w:cs="Arial"/>
          <w:color w:val="000000" w:themeColor="text1"/>
          <w:lang w:val="en" w:eastAsia="en-GB"/>
        </w:rPr>
      </w:pPr>
    </w:p>
    <w:p w14:paraId="5F0952EA" w14:textId="743E6D47" w:rsidR="00BB137B" w:rsidRPr="00BB137B" w:rsidRDefault="00BB137B" w:rsidP="004D570A">
      <w:pPr>
        <w:pStyle w:val="Heading2"/>
        <w:ind w:left="360"/>
        <w:rPr>
          <w:rFonts w:asciiTheme="minorBidi" w:eastAsia="Times New Roman" w:hAnsiTheme="minorBidi"/>
          <w:b w:val="0"/>
          <w:bCs w:val="0"/>
          <w:kern w:val="32"/>
          <w:sz w:val="24"/>
          <w:szCs w:val="24"/>
          <w:lang w:eastAsia="en-GB"/>
        </w:rPr>
      </w:pPr>
      <w:r w:rsidRPr="00BB137B">
        <w:rPr>
          <w:rFonts w:asciiTheme="minorBidi" w:eastAsia="Times New Roman" w:hAnsiTheme="minorBidi"/>
          <w:kern w:val="32"/>
          <w:sz w:val="24"/>
          <w:szCs w:val="24"/>
          <w:lang w:eastAsia="en-GB"/>
        </w:rPr>
        <w:t xml:space="preserve"> </w:t>
      </w:r>
      <w:bookmarkStart w:id="23" w:name="_Toc115084535"/>
      <w:r w:rsidRPr="004D570A">
        <w:rPr>
          <w:lang w:eastAsia="en-GB"/>
        </w:rPr>
        <w:t>Applicants with a disability</w:t>
      </w:r>
      <w:bookmarkEnd w:id="23"/>
      <w:r w:rsidRPr="00BB137B">
        <w:rPr>
          <w:rFonts w:asciiTheme="minorBidi" w:eastAsia="Times New Roman" w:hAnsiTheme="minorBidi"/>
          <w:kern w:val="32"/>
          <w:sz w:val="24"/>
          <w:szCs w:val="24"/>
          <w:lang w:eastAsia="en-GB"/>
        </w:rPr>
        <w:t xml:space="preserve"> </w:t>
      </w:r>
    </w:p>
    <w:p w14:paraId="03BEC483" w14:textId="77777777" w:rsidR="00BB137B" w:rsidRPr="00B557FF" w:rsidRDefault="00BB137B" w:rsidP="009D3B83">
      <w:pPr>
        <w:pStyle w:val="NoSpacing"/>
        <w:numPr>
          <w:ilvl w:val="0"/>
          <w:numId w:val="5"/>
        </w:numPr>
        <w:ind w:hanging="720"/>
        <w:rPr>
          <w:rFonts w:cs="Arial"/>
          <w:color w:val="000000" w:themeColor="text1"/>
          <w:lang w:val="en" w:eastAsia="en-GB"/>
        </w:rPr>
      </w:pPr>
      <w:r w:rsidRPr="00B557FF">
        <w:rPr>
          <w:rFonts w:cs="Arial"/>
          <w:color w:val="000000" w:themeColor="text1"/>
          <w:lang w:val="en" w:eastAsia="en-GB"/>
        </w:rPr>
        <w:t>The University of Surrey is committed to equality of opportunity for all of its students and encourages applications from students with disabilities or specific learning difficulties. The University’s policy of equal opportunity ensures that all applicants are considered on the same academic grounds. It is important, however, that applicants with a disability make this known to the University so that appropriate arrangements for reasonable adjustments to support their education and learning can be made. A</w:t>
      </w:r>
      <w:hyperlink r:id="rId33" w:history="1">
        <w:r w:rsidRPr="00B557FF">
          <w:rPr>
            <w:rStyle w:val="Hyperlink"/>
            <w:rFonts w:cs="Arial"/>
            <w:color w:val="000000" w:themeColor="text1"/>
            <w:lang w:val="en" w:eastAsia="en-GB"/>
          </w:rPr>
          <w:t xml:space="preserve"> procedure</w:t>
        </w:r>
      </w:hyperlink>
      <w:r w:rsidRPr="00B557FF">
        <w:rPr>
          <w:rFonts w:cs="Arial"/>
          <w:color w:val="000000" w:themeColor="text1"/>
          <w:lang w:val="en" w:eastAsia="en-GB"/>
        </w:rPr>
        <w:t xml:space="preserve"> for exploring all possible reasonable adjustments with the participation of the applicant will be followed.  In exceptional cases, the University may require further advice from health professionals. Occasionally, other criteria may need to be considered, such as the requirements of professional bodies. For example, applicants to nursing programmes must undergo an occupational health check.</w:t>
      </w:r>
    </w:p>
    <w:p w14:paraId="48857F79" w14:textId="77777777" w:rsidR="00BB137B" w:rsidRDefault="00BB137B" w:rsidP="00BB137B">
      <w:pPr>
        <w:spacing w:after="0" w:line="240" w:lineRule="auto"/>
        <w:rPr>
          <w:color w:val="000000" w:themeColor="text1"/>
        </w:rPr>
      </w:pPr>
    </w:p>
    <w:p w14:paraId="44783367" w14:textId="7DA29DB0" w:rsidR="00BB137B" w:rsidRPr="004D570A" w:rsidRDefault="00BB137B" w:rsidP="004D570A">
      <w:pPr>
        <w:spacing w:after="0" w:line="240" w:lineRule="auto"/>
        <w:ind w:left="360"/>
        <w:rPr>
          <w:rFonts w:ascii="Arial" w:eastAsiaTheme="majorEastAsia" w:hAnsi="Arial" w:cstheme="majorBidi"/>
          <w:b/>
          <w:bCs/>
          <w:i/>
          <w:szCs w:val="26"/>
          <w:lang w:eastAsia="en-GB"/>
        </w:rPr>
      </w:pPr>
      <w:r w:rsidRPr="004D570A">
        <w:rPr>
          <w:rFonts w:ascii="Arial" w:eastAsiaTheme="majorEastAsia" w:hAnsi="Arial" w:cstheme="majorBidi"/>
          <w:b/>
          <w:bCs/>
          <w:i/>
          <w:szCs w:val="26"/>
          <w:lang w:eastAsia="en-GB"/>
        </w:rPr>
        <w:t>Applicants who have been in local authority care</w:t>
      </w:r>
    </w:p>
    <w:p w14:paraId="5258C637" w14:textId="77777777" w:rsidR="00BB137B" w:rsidRDefault="00BB137B" w:rsidP="009D3B83">
      <w:pPr>
        <w:pStyle w:val="NoSpacing"/>
        <w:numPr>
          <w:ilvl w:val="0"/>
          <w:numId w:val="5"/>
        </w:numPr>
        <w:ind w:hanging="720"/>
        <w:rPr>
          <w:color w:val="000000" w:themeColor="text1"/>
          <w:lang w:val="en" w:eastAsia="en-GB"/>
        </w:rPr>
      </w:pPr>
      <w:r w:rsidRPr="00ED69C3">
        <w:rPr>
          <w:color w:val="000000" w:themeColor="text1"/>
          <w:lang w:val="en" w:eastAsia="en-GB"/>
        </w:rPr>
        <w:t xml:space="preserve">The University is able to offer specific support to care leavers. Further details can be found on the University website </w:t>
      </w:r>
      <w:hyperlink r:id="rId34" w:history="1">
        <w:r w:rsidRPr="00ED69C3">
          <w:rPr>
            <w:rStyle w:val="Hyperlink"/>
            <w:rFonts w:cstheme="minorBidi"/>
            <w:lang w:val="en" w:eastAsia="en-GB"/>
          </w:rPr>
          <w:t>surrey.ac.uk/schools-colleges/parents-and-carers</w:t>
        </w:r>
      </w:hyperlink>
    </w:p>
    <w:p w14:paraId="32B916FB" w14:textId="77777777" w:rsidR="00BB137B" w:rsidRDefault="00BB137B" w:rsidP="00BB137B">
      <w:pPr>
        <w:pStyle w:val="NoSpacing"/>
        <w:rPr>
          <w:color w:val="000000" w:themeColor="text1"/>
          <w:lang w:val="en" w:eastAsia="en-GB"/>
        </w:rPr>
      </w:pPr>
    </w:p>
    <w:p w14:paraId="5910E1B8" w14:textId="753FFE58" w:rsidR="00BB137B" w:rsidRPr="00BB137B" w:rsidRDefault="00BB137B" w:rsidP="004D570A">
      <w:pPr>
        <w:pStyle w:val="Heading1"/>
        <w:ind w:left="360"/>
      </w:pPr>
      <w:bookmarkStart w:id="24" w:name="_Toc115084536"/>
      <w:r w:rsidRPr="00BB137B">
        <w:t>Student visas</w:t>
      </w:r>
      <w:bookmarkEnd w:id="24"/>
    </w:p>
    <w:p w14:paraId="3BDA4BA6" w14:textId="571BFFD2" w:rsidR="00BB137B" w:rsidRPr="004D570A" w:rsidRDefault="00BB137B" w:rsidP="009D3B83">
      <w:pPr>
        <w:pStyle w:val="ListParagraph"/>
        <w:numPr>
          <w:ilvl w:val="0"/>
          <w:numId w:val="5"/>
        </w:numPr>
        <w:autoSpaceDE w:val="0"/>
        <w:autoSpaceDN w:val="0"/>
        <w:adjustRightInd w:val="0"/>
        <w:spacing w:after="0" w:line="240" w:lineRule="auto"/>
        <w:ind w:hanging="720"/>
        <w:rPr>
          <w:rFonts w:ascii="Arial" w:hAnsi="Arial" w:cs="Arial"/>
          <w:color w:val="0000FF"/>
          <w:lang w:eastAsia="zh-CN"/>
        </w:rPr>
      </w:pPr>
      <w:r w:rsidRPr="004D570A">
        <w:rPr>
          <w:rFonts w:ascii="Arial" w:hAnsi="Arial" w:cs="Arial"/>
          <w:color w:val="000000"/>
          <w:lang w:eastAsia="zh-CN"/>
        </w:rPr>
        <w:t>The UK government operates a points-based immigration system for all overseas students.</w:t>
      </w:r>
      <w:r w:rsidR="004D570A" w:rsidRPr="004D570A">
        <w:rPr>
          <w:rFonts w:ascii="Arial" w:hAnsi="Arial" w:cs="Arial"/>
          <w:color w:val="000000"/>
          <w:lang w:eastAsia="zh-CN"/>
        </w:rPr>
        <w:t xml:space="preserve"> </w:t>
      </w:r>
      <w:r w:rsidRPr="004D570A">
        <w:rPr>
          <w:rFonts w:ascii="Arial" w:hAnsi="Arial" w:cs="Arial"/>
          <w:color w:val="000000"/>
          <w:lang w:eastAsia="zh-CN"/>
        </w:rPr>
        <w:t xml:space="preserve">Further details at </w:t>
      </w:r>
      <w:hyperlink r:id="rId35" w:history="1">
        <w:r w:rsidRPr="00E17209">
          <w:rPr>
            <w:rStyle w:val="Hyperlink"/>
            <w:rFonts w:ascii="Arial" w:hAnsi="Arial" w:cs="Arial"/>
            <w:lang w:val="en" w:eastAsia="en-GB"/>
          </w:rPr>
          <w:t>gov.uk/government/organisations/uk</w:t>
        </w:r>
        <w:r w:rsidRPr="00E17209">
          <w:rPr>
            <w:rStyle w:val="Hyperlink"/>
            <w:rFonts w:ascii="Cambria Math" w:hAnsi="Cambria Math" w:cs="Cambria Math"/>
            <w:lang w:val="en" w:eastAsia="en-GB"/>
          </w:rPr>
          <w:t>‐</w:t>
        </w:r>
        <w:r w:rsidRPr="00E17209">
          <w:rPr>
            <w:rStyle w:val="Hyperlink"/>
            <w:rFonts w:ascii="Arial" w:hAnsi="Arial" w:cs="Arial"/>
            <w:lang w:val="en" w:eastAsia="en-GB"/>
          </w:rPr>
          <w:t>visas</w:t>
        </w:r>
        <w:r w:rsidRPr="00E17209">
          <w:rPr>
            <w:rStyle w:val="Hyperlink"/>
            <w:rFonts w:ascii="Cambria Math" w:hAnsi="Cambria Math" w:cs="Cambria Math"/>
            <w:lang w:val="en" w:eastAsia="en-GB"/>
          </w:rPr>
          <w:t>‐</w:t>
        </w:r>
        <w:r w:rsidRPr="00E17209">
          <w:rPr>
            <w:rStyle w:val="Hyperlink"/>
            <w:rFonts w:ascii="Arial" w:hAnsi="Arial" w:cs="Arial"/>
            <w:lang w:val="en" w:eastAsia="en-GB"/>
          </w:rPr>
          <w:t>and</w:t>
        </w:r>
        <w:r w:rsidRPr="00E17209">
          <w:rPr>
            <w:rStyle w:val="Hyperlink"/>
            <w:rFonts w:ascii="Cambria Math" w:hAnsi="Cambria Math" w:cs="Cambria Math"/>
            <w:lang w:val="en" w:eastAsia="en-GB"/>
          </w:rPr>
          <w:t>‐</w:t>
        </w:r>
        <w:r w:rsidRPr="00E17209">
          <w:rPr>
            <w:rStyle w:val="Hyperlink"/>
            <w:rFonts w:ascii="Arial" w:hAnsi="Arial" w:cs="Arial"/>
            <w:lang w:val="en" w:eastAsia="en-GB"/>
          </w:rPr>
          <w:t>immigration</w:t>
        </w:r>
      </w:hyperlink>
    </w:p>
    <w:p w14:paraId="4094E25E" w14:textId="77777777" w:rsidR="00BB137B" w:rsidRPr="00B557FF" w:rsidRDefault="00BB137B" w:rsidP="00BB137B">
      <w:pPr>
        <w:spacing w:after="0" w:line="240" w:lineRule="auto"/>
        <w:rPr>
          <w:rFonts w:ascii="Arial" w:hAnsi="Arial" w:cs="Arial"/>
          <w:color w:val="000000"/>
          <w:lang w:eastAsia="zh-CN"/>
        </w:rPr>
      </w:pPr>
    </w:p>
    <w:p w14:paraId="2ABCF96E" w14:textId="77777777" w:rsidR="00BB137B" w:rsidRPr="004D570A" w:rsidRDefault="00BB137B" w:rsidP="009D3B83">
      <w:pPr>
        <w:pStyle w:val="ListParagraph"/>
        <w:numPr>
          <w:ilvl w:val="0"/>
          <w:numId w:val="5"/>
        </w:numPr>
        <w:spacing w:after="0" w:line="240" w:lineRule="auto"/>
        <w:ind w:hanging="720"/>
        <w:rPr>
          <w:rFonts w:ascii="Arial" w:hAnsi="Arial" w:cs="Arial"/>
          <w:color w:val="000000" w:themeColor="text1"/>
        </w:rPr>
      </w:pPr>
      <w:r w:rsidRPr="004D570A">
        <w:rPr>
          <w:rFonts w:ascii="Arial" w:hAnsi="Arial" w:cs="Arial"/>
          <w:color w:val="000000"/>
          <w:lang w:eastAsia="zh-CN"/>
        </w:rPr>
        <w:t xml:space="preserve">The University is licensed with the Home Office as a Student Route Visa Sponsor. </w:t>
      </w:r>
      <w:r w:rsidRPr="004D570A">
        <w:rPr>
          <w:rFonts w:ascii="Arial" w:hAnsi="Arial" w:cs="Arial"/>
          <w:color w:val="000000" w:themeColor="text1"/>
        </w:rPr>
        <w:t xml:space="preserve">To apply for a Student route Visa, applicants must have a Confirmation of Acceptance to Study (CAS). The University is under no legal obligation to sponsor any individual and exercises caution with respect to issuing a Confirmation of Acceptance for Studies (CAS) to not risk its status as a Student Route Visa sponsor. </w:t>
      </w:r>
    </w:p>
    <w:p w14:paraId="2EB9BD2A" w14:textId="77777777" w:rsidR="00BB137B" w:rsidRPr="00B557FF" w:rsidRDefault="00BB137B" w:rsidP="00BB137B">
      <w:pPr>
        <w:spacing w:after="0" w:line="240" w:lineRule="auto"/>
        <w:rPr>
          <w:rFonts w:ascii="Arial" w:hAnsi="Arial" w:cs="Arial"/>
          <w:color w:val="000000" w:themeColor="text1"/>
        </w:rPr>
      </w:pPr>
    </w:p>
    <w:p w14:paraId="269AC3AF" w14:textId="77777777" w:rsidR="00BB137B" w:rsidRPr="004D570A" w:rsidRDefault="00BB137B" w:rsidP="009D3B83">
      <w:pPr>
        <w:pStyle w:val="ListParagraph"/>
        <w:numPr>
          <w:ilvl w:val="0"/>
          <w:numId w:val="5"/>
        </w:numPr>
        <w:spacing w:after="0" w:line="240" w:lineRule="auto"/>
        <w:ind w:hanging="720"/>
        <w:rPr>
          <w:rFonts w:ascii="Arial" w:hAnsi="Arial" w:cs="Arial"/>
          <w:color w:val="000000" w:themeColor="text1"/>
        </w:rPr>
      </w:pPr>
      <w:r w:rsidRPr="004D570A">
        <w:rPr>
          <w:rFonts w:ascii="Arial" w:hAnsi="Arial" w:cs="Arial"/>
          <w:color w:val="000000" w:themeColor="text1"/>
        </w:rPr>
        <w:t xml:space="preserve">CAS are issued in accordance with the </w:t>
      </w:r>
      <w:r w:rsidRPr="004D570A">
        <w:rPr>
          <w:rFonts w:ascii="Arial" w:hAnsi="Arial" w:cs="Arial"/>
          <w:color w:val="000000" w:themeColor="text1"/>
          <w:lang w:val="en-US"/>
        </w:rPr>
        <w:t xml:space="preserve">Student Route Visa Sponsorship and CAS Issuing Policy, available at: </w:t>
      </w:r>
      <w:hyperlink r:id="rId36" w:history="1">
        <w:r w:rsidRPr="004D570A">
          <w:rPr>
            <w:rStyle w:val="Hyperlink"/>
            <w:rFonts w:ascii="Arial" w:hAnsi="Arial" w:cs="Arial"/>
            <w:lang w:val="en" w:eastAsia="en-GB"/>
          </w:rPr>
          <w:t>surrey.ac.uk/apply/policies</w:t>
        </w:r>
      </w:hyperlink>
    </w:p>
    <w:p w14:paraId="50F454B3" w14:textId="77777777" w:rsidR="00BB137B" w:rsidRDefault="00BB137B" w:rsidP="00BB137B">
      <w:pPr>
        <w:spacing w:after="0" w:line="240" w:lineRule="auto"/>
        <w:rPr>
          <w:color w:val="000000" w:themeColor="text1"/>
        </w:rPr>
      </w:pPr>
    </w:p>
    <w:p w14:paraId="48623DE7" w14:textId="02948707" w:rsidR="00BB137B" w:rsidRPr="00BB137B" w:rsidRDefault="00BB137B" w:rsidP="004D570A">
      <w:pPr>
        <w:pStyle w:val="Heading1"/>
        <w:ind w:left="360"/>
      </w:pPr>
      <w:bookmarkStart w:id="25" w:name="_Toc115084537"/>
      <w:r w:rsidRPr="00BB137B">
        <w:t>Academic Technology Approval Scheme (ATAS)</w:t>
      </w:r>
      <w:bookmarkEnd w:id="25"/>
      <w:r w:rsidRPr="00BB137B">
        <w:t xml:space="preserve"> </w:t>
      </w:r>
    </w:p>
    <w:p w14:paraId="7BEDAFD0" w14:textId="29BE30EF" w:rsidR="00BB137B" w:rsidRPr="004D570A" w:rsidRDefault="00BB137B" w:rsidP="009D3B83">
      <w:pPr>
        <w:pStyle w:val="ListParagraph"/>
        <w:numPr>
          <w:ilvl w:val="0"/>
          <w:numId w:val="5"/>
        </w:numPr>
        <w:spacing w:after="0" w:line="240" w:lineRule="auto"/>
        <w:ind w:hanging="720"/>
        <w:rPr>
          <w:rFonts w:asciiTheme="minorBidi" w:hAnsiTheme="minorBidi"/>
          <w:u w:val="single"/>
          <w:lang w:val="en"/>
        </w:rPr>
      </w:pPr>
      <w:r w:rsidRPr="004D570A">
        <w:rPr>
          <w:rFonts w:asciiTheme="minorBidi" w:hAnsiTheme="minorBidi"/>
        </w:rPr>
        <w:t xml:space="preserve">It is mandatory for some applicants who need entry clearance to study in the United Kingdom and who are applying to certain programmes to have an ATAS certificate. We will not be able to issue a Confirmation of Acceptance to Study (CAS) or register applicants on to the programme until their clearance has been received. For further details, please visit the Foreign and Commonwealth Office website. </w:t>
      </w:r>
      <w:hyperlink r:id="rId37" w:history="1">
        <w:r w:rsidRPr="004D570A">
          <w:rPr>
            <w:rStyle w:val="Hyperlink"/>
            <w:rFonts w:asciiTheme="minorBidi" w:hAnsiTheme="minorBidi"/>
            <w:lang w:val="en"/>
          </w:rPr>
          <w:t>gov.uk/academic-technology-approval-scheme</w:t>
        </w:r>
      </w:hyperlink>
    </w:p>
    <w:p w14:paraId="687ECA27" w14:textId="77777777" w:rsidR="00BB137B" w:rsidRPr="006C33F3" w:rsidRDefault="00BB137B" w:rsidP="00BB137B">
      <w:pPr>
        <w:spacing w:after="0" w:line="240" w:lineRule="auto"/>
      </w:pPr>
    </w:p>
    <w:p w14:paraId="163CC805" w14:textId="1B6174F6" w:rsidR="00BB137B" w:rsidRPr="00BB137B" w:rsidRDefault="00BB137B" w:rsidP="004D570A">
      <w:pPr>
        <w:pStyle w:val="Heading1"/>
        <w:ind w:left="360"/>
      </w:pPr>
      <w:bookmarkStart w:id="26" w:name="_Toc115084538"/>
      <w:r w:rsidRPr="00BB137B">
        <w:t>Criminal convictions</w:t>
      </w:r>
      <w:bookmarkEnd w:id="26"/>
      <w:r w:rsidRPr="00BB137B">
        <w:t xml:space="preserve"> </w:t>
      </w:r>
    </w:p>
    <w:p w14:paraId="34D21E24" w14:textId="3152E5C8" w:rsidR="00BB137B" w:rsidRPr="004D570A" w:rsidRDefault="00BB137B" w:rsidP="009D3B83">
      <w:pPr>
        <w:pStyle w:val="ListParagraph"/>
        <w:numPr>
          <w:ilvl w:val="0"/>
          <w:numId w:val="5"/>
        </w:numPr>
        <w:spacing w:after="0" w:line="240" w:lineRule="auto"/>
        <w:ind w:hanging="720"/>
        <w:rPr>
          <w:rFonts w:ascii="Arial" w:hAnsi="Arial" w:cs="Arial"/>
        </w:rPr>
      </w:pPr>
      <w:r w:rsidRPr="004D570A">
        <w:rPr>
          <w:rFonts w:ascii="Arial" w:hAnsi="Arial" w:cs="Arial"/>
        </w:rPr>
        <w:t xml:space="preserve">The University aims to select those applicants who are likely to succeed academically and benefit from its programmes. Having a Criminal Conviction (as </w:t>
      </w:r>
      <w:r w:rsidRPr="004D570A">
        <w:rPr>
          <w:rFonts w:ascii="Arial" w:hAnsi="Arial" w:cs="Arial"/>
        </w:rPr>
        <w:lastRenderedPageBreak/>
        <w:t xml:space="preserve">defined in the </w:t>
      </w:r>
      <w:hyperlink r:id="rId38" w:history="1">
        <w:r w:rsidRPr="004D570A">
          <w:rPr>
            <w:rStyle w:val="Hyperlink"/>
            <w:rFonts w:ascii="Arial" w:hAnsi="Arial" w:cs="Arial"/>
          </w:rPr>
          <w:t xml:space="preserve">Criminal Convictions </w:t>
        </w:r>
      </w:hyperlink>
      <w:r w:rsidR="00F03B75" w:rsidRPr="004D570A">
        <w:rPr>
          <w:rStyle w:val="Hyperlink"/>
          <w:rFonts w:ascii="Arial" w:hAnsi="Arial" w:cs="Arial"/>
        </w:rPr>
        <w:t>Guidelines</w:t>
      </w:r>
      <w:r w:rsidRPr="004D570A">
        <w:rPr>
          <w:rFonts w:ascii="Arial" w:hAnsi="Arial" w:cs="Arial"/>
        </w:rPr>
        <w:t xml:space="preserve">) will not usually prevent an applicant from gaining admission to the University. </w:t>
      </w:r>
    </w:p>
    <w:p w14:paraId="7BDB1900" w14:textId="77777777" w:rsidR="00BB137B" w:rsidRPr="00B557FF" w:rsidRDefault="00BB137B" w:rsidP="00BB137B">
      <w:pPr>
        <w:spacing w:after="0" w:line="240" w:lineRule="auto"/>
        <w:rPr>
          <w:rFonts w:ascii="Arial" w:hAnsi="Arial" w:cs="Arial"/>
        </w:rPr>
      </w:pPr>
    </w:p>
    <w:p w14:paraId="1F5B119C" w14:textId="606DE587" w:rsidR="00BB137B" w:rsidRPr="004D570A" w:rsidRDefault="00BB137B" w:rsidP="009D3B83">
      <w:pPr>
        <w:pStyle w:val="ListParagraph"/>
        <w:numPr>
          <w:ilvl w:val="0"/>
          <w:numId w:val="5"/>
        </w:numPr>
        <w:spacing w:after="0" w:line="240" w:lineRule="auto"/>
        <w:ind w:hanging="720"/>
        <w:rPr>
          <w:rFonts w:ascii="Arial" w:hAnsi="Arial" w:cs="Arial"/>
        </w:rPr>
      </w:pPr>
      <w:r w:rsidRPr="004D570A">
        <w:rPr>
          <w:rFonts w:ascii="Arial" w:hAnsi="Arial" w:cs="Arial"/>
        </w:rPr>
        <w:t xml:space="preserve">A failure to disclose any Relevant Criminal Conviction(s) (as defined in the Criminal Convictions Policy) is taken seriously and could result in: the withdrawal of any existing or subsequent offer of a place; or to the termination of any subsequent registration in accordance with the </w:t>
      </w:r>
      <w:hyperlink r:id="rId39" w:history="1">
        <w:r w:rsidRPr="004D570A">
          <w:rPr>
            <w:rStyle w:val="Hyperlink"/>
            <w:rFonts w:ascii="Arial" w:hAnsi="Arial" w:cs="Arial"/>
          </w:rPr>
          <w:t>Student Disciplinary Regulations</w:t>
        </w:r>
      </w:hyperlink>
      <w:r w:rsidRPr="004D570A">
        <w:rPr>
          <w:rFonts w:ascii="Arial" w:hAnsi="Arial" w:cs="Arial"/>
        </w:rPr>
        <w:t xml:space="preserve"> or </w:t>
      </w:r>
      <w:hyperlink r:id="rId40" w:history="1">
        <w:r w:rsidRPr="004D570A">
          <w:rPr>
            <w:rStyle w:val="Hyperlink"/>
            <w:rFonts w:ascii="Arial" w:hAnsi="Arial" w:cs="Arial"/>
          </w:rPr>
          <w:t>Regulations for Fitness to Practise</w:t>
        </w:r>
      </w:hyperlink>
      <w:r w:rsidRPr="004D570A">
        <w:rPr>
          <w:rFonts w:ascii="Arial" w:hAnsi="Arial" w:cs="Arial"/>
        </w:rPr>
        <w:t>.</w:t>
      </w:r>
    </w:p>
    <w:p w14:paraId="03BF43D9" w14:textId="77777777" w:rsidR="00BB137B" w:rsidRPr="00B557FF" w:rsidRDefault="00BB137B" w:rsidP="00BB137B">
      <w:pPr>
        <w:spacing w:after="0" w:line="240" w:lineRule="auto"/>
        <w:rPr>
          <w:rFonts w:ascii="Arial" w:hAnsi="Arial" w:cs="Arial"/>
        </w:rPr>
      </w:pPr>
    </w:p>
    <w:p w14:paraId="5B9A9BD2" w14:textId="4011B481" w:rsidR="00BB137B" w:rsidRPr="004D570A" w:rsidRDefault="00BB137B" w:rsidP="009D3B83">
      <w:pPr>
        <w:pStyle w:val="ListParagraph"/>
        <w:numPr>
          <w:ilvl w:val="0"/>
          <w:numId w:val="5"/>
        </w:numPr>
        <w:spacing w:after="0" w:line="240" w:lineRule="auto"/>
        <w:ind w:hanging="720"/>
        <w:rPr>
          <w:rFonts w:ascii="Arial" w:hAnsi="Arial" w:cs="Arial"/>
        </w:rPr>
      </w:pPr>
      <w:r w:rsidRPr="004D570A">
        <w:rPr>
          <w:rFonts w:ascii="Arial" w:hAnsi="Arial" w:cs="Arial"/>
        </w:rPr>
        <w:t xml:space="preserve">Please see the </w:t>
      </w:r>
      <w:hyperlink r:id="rId41" w:history="1">
        <w:r w:rsidRPr="004D570A">
          <w:rPr>
            <w:rStyle w:val="Hyperlink"/>
            <w:rFonts w:ascii="Arial" w:hAnsi="Arial" w:cs="Arial"/>
          </w:rPr>
          <w:t xml:space="preserve">Criminal Convictions </w:t>
        </w:r>
        <w:r w:rsidR="00F03B75" w:rsidRPr="004D570A">
          <w:rPr>
            <w:rStyle w:val="Hyperlink"/>
            <w:rFonts w:ascii="Arial" w:hAnsi="Arial" w:cs="Arial"/>
          </w:rPr>
          <w:t>Guidelines</w:t>
        </w:r>
      </w:hyperlink>
      <w:r w:rsidRPr="004D570A">
        <w:rPr>
          <w:rFonts w:ascii="Arial" w:hAnsi="Arial" w:cs="Arial"/>
        </w:rPr>
        <w:t xml:space="preserve"> for further details.</w:t>
      </w:r>
    </w:p>
    <w:p w14:paraId="5558A5C6" w14:textId="77777777" w:rsidR="00BB137B" w:rsidRDefault="00BB137B" w:rsidP="00BB137B">
      <w:pPr>
        <w:spacing w:after="0" w:line="240" w:lineRule="auto"/>
        <w:rPr>
          <w:color w:val="000000" w:themeColor="text1"/>
        </w:rPr>
      </w:pPr>
    </w:p>
    <w:p w14:paraId="590D1201" w14:textId="6124FFF8" w:rsidR="00BB137B" w:rsidRPr="00BB137B" w:rsidRDefault="00BB137B" w:rsidP="002744CA">
      <w:pPr>
        <w:pStyle w:val="Heading1"/>
        <w:ind w:left="360"/>
      </w:pPr>
      <w:bookmarkStart w:id="27" w:name="_Toc115084539"/>
      <w:r w:rsidRPr="00BB137B">
        <w:t>Fraudulent and misleading applications</w:t>
      </w:r>
      <w:bookmarkEnd w:id="27"/>
      <w:r w:rsidRPr="00BB137B">
        <w:t xml:space="preserve"> </w:t>
      </w:r>
    </w:p>
    <w:p w14:paraId="5E184A84" w14:textId="111FA553" w:rsidR="00BB137B" w:rsidRPr="002744CA" w:rsidRDefault="00BB137B" w:rsidP="009D3B83">
      <w:pPr>
        <w:pStyle w:val="ListParagraph"/>
        <w:numPr>
          <w:ilvl w:val="0"/>
          <w:numId w:val="5"/>
        </w:numPr>
        <w:autoSpaceDE w:val="0"/>
        <w:autoSpaceDN w:val="0"/>
        <w:adjustRightInd w:val="0"/>
        <w:spacing w:after="0" w:line="240" w:lineRule="auto"/>
        <w:ind w:hanging="720"/>
        <w:rPr>
          <w:rFonts w:ascii="Arial" w:hAnsi="Arial" w:cs="Arial"/>
          <w:lang w:eastAsia="zh-CN"/>
        </w:rPr>
      </w:pPr>
      <w:r w:rsidRPr="002744CA">
        <w:rPr>
          <w:rFonts w:ascii="Arial" w:hAnsi="Arial" w:cs="Arial"/>
          <w:lang w:eastAsia="zh-CN"/>
        </w:rPr>
        <w:t>The University follows the UCAS rules and policies concerning fraudulent applications and liaises</w:t>
      </w:r>
      <w:r w:rsidR="002744CA" w:rsidRPr="002744CA">
        <w:rPr>
          <w:rFonts w:ascii="Arial" w:hAnsi="Arial" w:cs="Arial"/>
          <w:lang w:eastAsia="zh-CN"/>
        </w:rPr>
        <w:t xml:space="preserve"> </w:t>
      </w:r>
      <w:r w:rsidRPr="002744CA">
        <w:rPr>
          <w:rFonts w:ascii="Arial" w:hAnsi="Arial" w:cs="Arial"/>
          <w:lang w:eastAsia="zh-CN"/>
        </w:rPr>
        <w:t>closely with the UCAS Verification Unit to prevent fraud. We will refer to UCAS any application that we suspect to be fraudulent or to contain fraudulent information.</w:t>
      </w:r>
    </w:p>
    <w:p w14:paraId="64EF90C1" w14:textId="77777777" w:rsidR="00BB137B" w:rsidRPr="00B557FF" w:rsidRDefault="00BB137B" w:rsidP="00BB137B">
      <w:pPr>
        <w:autoSpaceDE w:val="0"/>
        <w:autoSpaceDN w:val="0"/>
        <w:adjustRightInd w:val="0"/>
        <w:spacing w:after="0" w:line="240" w:lineRule="auto"/>
        <w:rPr>
          <w:rFonts w:ascii="Arial" w:hAnsi="Arial" w:cs="Arial"/>
          <w:color w:val="000000" w:themeColor="text1"/>
        </w:rPr>
      </w:pPr>
    </w:p>
    <w:p w14:paraId="55911E0B" w14:textId="51860950" w:rsidR="00BB137B" w:rsidRPr="002744CA" w:rsidRDefault="002744CA" w:rsidP="009D3B83">
      <w:pPr>
        <w:pStyle w:val="ListParagraph"/>
        <w:numPr>
          <w:ilvl w:val="0"/>
          <w:numId w:val="5"/>
        </w:numPr>
        <w:autoSpaceDE w:val="0"/>
        <w:autoSpaceDN w:val="0"/>
        <w:adjustRightInd w:val="0"/>
        <w:spacing w:after="0" w:line="240" w:lineRule="auto"/>
        <w:ind w:hanging="720"/>
        <w:rPr>
          <w:rFonts w:ascii="Arial" w:hAnsi="Arial" w:cs="Arial"/>
          <w:color w:val="000000" w:themeColor="text1"/>
        </w:rPr>
      </w:pPr>
      <w:r>
        <w:rPr>
          <w:rFonts w:ascii="Arial" w:hAnsi="Arial" w:cs="Arial"/>
          <w:lang w:eastAsia="zh-CN"/>
        </w:rPr>
        <w:t>The University</w:t>
      </w:r>
      <w:r w:rsidR="00BB137B" w:rsidRPr="002744CA">
        <w:rPr>
          <w:rFonts w:ascii="Arial" w:hAnsi="Arial" w:cs="Arial"/>
          <w:lang w:eastAsia="zh-CN"/>
        </w:rPr>
        <w:t xml:space="preserve"> reserve</w:t>
      </w:r>
      <w:r>
        <w:rPr>
          <w:rFonts w:ascii="Arial" w:hAnsi="Arial" w:cs="Arial"/>
          <w:lang w:eastAsia="zh-CN"/>
        </w:rPr>
        <w:t>s</w:t>
      </w:r>
      <w:r w:rsidR="00BB137B" w:rsidRPr="002744CA">
        <w:rPr>
          <w:rFonts w:ascii="Arial" w:hAnsi="Arial" w:cs="Arial"/>
          <w:lang w:eastAsia="zh-CN"/>
        </w:rPr>
        <w:t xml:space="preserve"> the right to cancel an application or withdraw any offer made on the basis of an application which we have found to be fraudulent. Any student found to have been admitted on the basis of fraudulent information may have their studies terminated. International students who have been admitted on the basis of fraudulent information may have their studies terminated and also be reported to the relevant government agency. </w:t>
      </w:r>
      <w:r w:rsidR="00BB137B" w:rsidRPr="002744CA">
        <w:rPr>
          <w:rFonts w:ascii="Arial" w:hAnsi="Arial" w:cs="Arial"/>
        </w:rPr>
        <w:t>We may carry out credibility checks and failure to pass these checks may result in an offer being withdrawn.</w:t>
      </w:r>
    </w:p>
    <w:p w14:paraId="3B3A7559" w14:textId="77777777" w:rsidR="00BB137B" w:rsidRPr="00B557FF" w:rsidRDefault="00BB137B" w:rsidP="00BB137B">
      <w:pPr>
        <w:autoSpaceDE w:val="0"/>
        <w:autoSpaceDN w:val="0"/>
        <w:adjustRightInd w:val="0"/>
        <w:spacing w:after="0" w:line="240" w:lineRule="auto"/>
        <w:rPr>
          <w:rFonts w:ascii="Arial" w:hAnsi="Arial" w:cs="Arial"/>
          <w:color w:val="000000"/>
          <w:lang w:eastAsia="zh-CN"/>
        </w:rPr>
      </w:pPr>
    </w:p>
    <w:p w14:paraId="4CB499A5" w14:textId="6EE8292F" w:rsidR="00BB137B" w:rsidRPr="002744CA" w:rsidRDefault="00BB137B" w:rsidP="009D3B83">
      <w:pPr>
        <w:pStyle w:val="ListParagraph"/>
        <w:numPr>
          <w:ilvl w:val="0"/>
          <w:numId w:val="5"/>
        </w:numPr>
        <w:autoSpaceDE w:val="0"/>
        <w:autoSpaceDN w:val="0"/>
        <w:adjustRightInd w:val="0"/>
        <w:spacing w:after="0" w:line="240" w:lineRule="auto"/>
        <w:ind w:hanging="720"/>
        <w:rPr>
          <w:rFonts w:ascii="Arial" w:hAnsi="Arial" w:cs="Arial"/>
          <w:color w:val="000000" w:themeColor="text1"/>
        </w:rPr>
      </w:pPr>
      <w:r w:rsidRPr="002744CA">
        <w:rPr>
          <w:rFonts w:ascii="Arial" w:hAnsi="Arial" w:cs="Arial"/>
          <w:color w:val="000000"/>
          <w:lang w:eastAsia="zh-CN"/>
        </w:rPr>
        <w:t xml:space="preserve">For more information on UCAS procedures relating to the detection of fraudulent applications, please see the UCAS website at </w:t>
      </w:r>
      <w:hyperlink r:id="rId42" w:history="1">
        <w:r w:rsidRPr="00E17209">
          <w:rPr>
            <w:rStyle w:val="Hyperlink"/>
            <w:rFonts w:ascii="Arial" w:hAnsi="Arial" w:cs="Arial"/>
          </w:rPr>
          <w:t>ucas.com</w:t>
        </w:r>
      </w:hyperlink>
      <w:r w:rsidRPr="002744CA">
        <w:rPr>
          <w:rStyle w:val="Hyperlink"/>
          <w:rFonts w:ascii="Arial" w:hAnsi="Arial" w:cs="Arial"/>
        </w:rPr>
        <w:t>.</w:t>
      </w:r>
    </w:p>
    <w:p w14:paraId="47771F44" w14:textId="77777777" w:rsidR="00BB137B" w:rsidRPr="00B557FF" w:rsidRDefault="00BB137B" w:rsidP="00BB137B">
      <w:pPr>
        <w:spacing w:after="0" w:line="240" w:lineRule="auto"/>
        <w:rPr>
          <w:rFonts w:ascii="Arial" w:hAnsi="Arial" w:cs="Arial"/>
          <w:color w:val="000000" w:themeColor="text1"/>
        </w:rPr>
      </w:pPr>
    </w:p>
    <w:p w14:paraId="0BC8B1CB" w14:textId="2614FB62" w:rsidR="00BB137B" w:rsidRPr="00B557FF" w:rsidRDefault="00BB137B" w:rsidP="002744CA">
      <w:pPr>
        <w:pStyle w:val="Heading1"/>
        <w:ind w:left="360"/>
      </w:pPr>
      <w:bookmarkStart w:id="28" w:name="_Toc115084540"/>
      <w:r w:rsidRPr="00B557FF">
        <w:t>Data protection</w:t>
      </w:r>
      <w:bookmarkEnd w:id="28"/>
      <w:r w:rsidRPr="00B557FF">
        <w:t xml:space="preserve"> </w:t>
      </w:r>
    </w:p>
    <w:p w14:paraId="2D597DC2" w14:textId="3A409C7D" w:rsidR="00BB137B" w:rsidRDefault="00BB137B" w:rsidP="009D3B83">
      <w:pPr>
        <w:pStyle w:val="ListParagraph"/>
        <w:numPr>
          <w:ilvl w:val="0"/>
          <w:numId w:val="5"/>
        </w:numPr>
        <w:autoSpaceDE w:val="0"/>
        <w:autoSpaceDN w:val="0"/>
        <w:adjustRightInd w:val="0"/>
        <w:spacing w:after="0" w:line="240" w:lineRule="auto"/>
        <w:ind w:hanging="720"/>
        <w:rPr>
          <w:rFonts w:ascii="Arial" w:hAnsi="Arial" w:cs="Arial"/>
          <w:color w:val="000000"/>
          <w:lang w:eastAsia="zh-CN"/>
        </w:rPr>
      </w:pPr>
      <w:r w:rsidRPr="002744CA">
        <w:rPr>
          <w:rFonts w:ascii="Arial" w:hAnsi="Arial" w:cs="Arial"/>
          <w:color w:val="000000"/>
          <w:lang w:eastAsia="zh-CN"/>
        </w:rPr>
        <w:t xml:space="preserve">The University holds and processes personal data and sensitive personal data or special categories of data about its current, past, or prospective, applicants, students, alumni and others who are defined as subjects under applicable data protection laws. This is done in accordance with the applicable data protection laws. The applicable data protection laws currently include the EU General Data Protection Regulation (GDPR) and the Data Protection Act 2018. </w:t>
      </w:r>
    </w:p>
    <w:p w14:paraId="5BC031D0" w14:textId="77777777" w:rsidR="002744CA" w:rsidRPr="002744CA" w:rsidRDefault="002744CA" w:rsidP="002744CA">
      <w:pPr>
        <w:pStyle w:val="ListParagraph"/>
        <w:autoSpaceDE w:val="0"/>
        <w:autoSpaceDN w:val="0"/>
        <w:adjustRightInd w:val="0"/>
        <w:spacing w:after="0" w:line="240" w:lineRule="auto"/>
        <w:rPr>
          <w:rFonts w:ascii="Arial" w:hAnsi="Arial" w:cs="Arial"/>
          <w:color w:val="000000"/>
          <w:lang w:eastAsia="zh-CN"/>
        </w:rPr>
      </w:pPr>
    </w:p>
    <w:p w14:paraId="5D3A3A1D" w14:textId="77777777" w:rsidR="00BB137B" w:rsidRPr="00B557FF" w:rsidRDefault="00BB137B" w:rsidP="002744CA">
      <w:pPr>
        <w:spacing w:after="0" w:line="240" w:lineRule="auto"/>
        <w:ind w:left="720"/>
        <w:rPr>
          <w:rFonts w:ascii="Arial" w:hAnsi="Arial" w:cs="Arial"/>
          <w:color w:val="000000" w:themeColor="text1"/>
        </w:rPr>
      </w:pPr>
      <w:r w:rsidRPr="00B557FF">
        <w:rPr>
          <w:rFonts w:ascii="Arial" w:hAnsi="Arial" w:cs="Arial"/>
          <w:color w:val="000000"/>
          <w:lang w:eastAsia="zh-CN"/>
        </w:rPr>
        <w:t xml:space="preserve">Detailed information relating to how the University handles the personal data of applicants, students and alumni can be found on </w:t>
      </w:r>
      <w:hyperlink r:id="rId43" w:history="1">
        <w:r w:rsidRPr="00B557FF">
          <w:rPr>
            <w:rStyle w:val="Hyperlink"/>
            <w:rFonts w:ascii="Arial" w:hAnsi="Arial" w:cs="Arial"/>
            <w:lang w:eastAsia="zh-CN"/>
          </w:rPr>
          <w:t>our website</w:t>
        </w:r>
      </w:hyperlink>
      <w:r w:rsidRPr="00B557FF">
        <w:rPr>
          <w:rFonts w:ascii="Arial" w:hAnsi="Arial" w:cs="Arial"/>
          <w:color w:val="000000"/>
          <w:lang w:eastAsia="zh-CN"/>
        </w:rPr>
        <w:t>.</w:t>
      </w:r>
    </w:p>
    <w:p w14:paraId="78353028" w14:textId="77777777" w:rsidR="00BB137B" w:rsidRPr="00B557FF" w:rsidRDefault="00BB137B" w:rsidP="00BB137B">
      <w:pPr>
        <w:spacing w:after="0" w:line="240" w:lineRule="auto"/>
        <w:rPr>
          <w:rFonts w:ascii="Arial" w:hAnsi="Arial" w:cs="Arial"/>
          <w:color w:val="000000" w:themeColor="text1"/>
        </w:rPr>
      </w:pPr>
    </w:p>
    <w:p w14:paraId="2B857494" w14:textId="38EC700C" w:rsidR="00BB137B" w:rsidRPr="00B557FF" w:rsidRDefault="00BB137B" w:rsidP="002744CA">
      <w:pPr>
        <w:pStyle w:val="Heading1"/>
        <w:ind w:left="720"/>
      </w:pPr>
      <w:bookmarkStart w:id="29" w:name="_Toc115084541"/>
      <w:r w:rsidRPr="00B557FF">
        <w:t>Complaints</w:t>
      </w:r>
      <w:bookmarkEnd w:id="29"/>
      <w:r w:rsidRPr="00B557FF">
        <w:t xml:space="preserve"> </w:t>
      </w:r>
    </w:p>
    <w:p w14:paraId="39D629F5" w14:textId="77777777" w:rsidR="00BB137B" w:rsidRPr="002744CA" w:rsidRDefault="00BB137B" w:rsidP="009D3B83">
      <w:pPr>
        <w:pStyle w:val="ListParagraph"/>
        <w:numPr>
          <w:ilvl w:val="0"/>
          <w:numId w:val="5"/>
        </w:numPr>
        <w:spacing w:after="0" w:line="240" w:lineRule="auto"/>
        <w:ind w:hanging="720"/>
        <w:rPr>
          <w:rFonts w:ascii="Arial" w:hAnsi="Arial" w:cs="Arial"/>
        </w:rPr>
      </w:pPr>
      <w:r w:rsidRPr="002744CA">
        <w:rPr>
          <w:rFonts w:ascii="Arial" w:hAnsi="Arial" w:cs="Arial"/>
        </w:rPr>
        <w:t>The University of Surrey is committed to delivering a high quality, efficient and fair admissions service in line with its selection criteria and guidelines. In the event that an applicant wishes to make a formal complaint, the University will follow a</w:t>
      </w:r>
      <w:hyperlink r:id="rId44" w:history="1">
        <w:r w:rsidRPr="002744CA">
          <w:rPr>
            <w:rStyle w:val="Hyperlink"/>
            <w:rFonts w:ascii="Arial" w:hAnsi="Arial" w:cs="Arial"/>
          </w:rPr>
          <w:t xml:space="preserve"> procedure</w:t>
        </w:r>
      </w:hyperlink>
      <w:r w:rsidRPr="002744CA">
        <w:rPr>
          <w:rFonts w:ascii="Arial" w:hAnsi="Arial" w:cs="Arial"/>
        </w:rPr>
        <w:t xml:space="preserve"> which ensures that all complaints are dealt with fairly, promptly, consistently and with due regard to the Equalities Act. If a complaint is upheld, the University will take appropriate action. If a complaint is not upheld, the reasons for the decision will be communicated clearly to the applicant. </w:t>
      </w:r>
    </w:p>
    <w:p w14:paraId="68146DD3" w14:textId="77777777" w:rsidR="00BB137B" w:rsidRPr="00B557FF" w:rsidRDefault="00BB137B" w:rsidP="00BB137B">
      <w:pPr>
        <w:spacing w:after="0" w:line="240" w:lineRule="auto"/>
        <w:rPr>
          <w:rFonts w:ascii="Arial" w:hAnsi="Arial" w:cs="Arial"/>
        </w:rPr>
      </w:pPr>
    </w:p>
    <w:p w14:paraId="72C61EFA" w14:textId="77777777" w:rsidR="00BB137B" w:rsidRPr="002744CA" w:rsidRDefault="00BB137B" w:rsidP="009D3B83">
      <w:pPr>
        <w:pStyle w:val="ListParagraph"/>
        <w:numPr>
          <w:ilvl w:val="0"/>
          <w:numId w:val="5"/>
        </w:numPr>
        <w:spacing w:after="0" w:line="240" w:lineRule="auto"/>
        <w:ind w:hanging="720"/>
        <w:rPr>
          <w:rFonts w:ascii="Arial" w:hAnsi="Arial" w:cs="Arial"/>
        </w:rPr>
      </w:pPr>
      <w:r w:rsidRPr="002744CA">
        <w:rPr>
          <w:rFonts w:ascii="Arial" w:hAnsi="Arial" w:cs="Arial"/>
        </w:rPr>
        <w:t xml:space="preserve">An applicant does not have the right to appeal against an academic decision not to offer them a place at the University, as long as the decision can be shown to have </w:t>
      </w:r>
      <w:r w:rsidRPr="002744CA">
        <w:rPr>
          <w:rFonts w:ascii="Arial" w:hAnsi="Arial" w:cs="Arial"/>
        </w:rPr>
        <w:lastRenderedPageBreak/>
        <w:t>been reached fairly and in accordance with the University’s published entry requirements and selection criteria.</w:t>
      </w:r>
    </w:p>
    <w:p w14:paraId="359F492B" w14:textId="77777777" w:rsidR="00BB137B" w:rsidRPr="00B557FF" w:rsidRDefault="00BB137B" w:rsidP="00BB137B">
      <w:pPr>
        <w:spacing w:after="0" w:line="240" w:lineRule="auto"/>
        <w:rPr>
          <w:rFonts w:ascii="Arial" w:hAnsi="Arial" w:cs="Arial"/>
        </w:rPr>
      </w:pPr>
    </w:p>
    <w:p w14:paraId="3AC6C346" w14:textId="77777777" w:rsidR="00BB137B" w:rsidRPr="002744CA" w:rsidRDefault="00BB137B" w:rsidP="009D3B83">
      <w:pPr>
        <w:pStyle w:val="ListParagraph"/>
        <w:numPr>
          <w:ilvl w:val="0"/>
          <w:numId w:val="5"/>
        </w:numPr>
        <w:spacing w:after="0" w:line="240" w:lineRule="auto"/>
        <w:ind w:hanging="720"/>
        <w:rPr>
          <w:rFonts w:ascii="Arial" w:hAnsi="Arial" w:cs="Arial"/>
        </w:rPr>
      </w:pPr>
      <w:r w:rsidRPr="002744CA">
        <w:rPr>
          <w:rFonts w:ascii="Arial" w:hAnsi="Arial" w:cs="Arial"/>
        </w:rPr>
        <w:t xml:space="preserve">The University will only correspond with the applicant, unless the applicant has provided written permission for the University to discuss the application with another person. Full details of the complaints policy can be found </w:t>
      </w:r>
      <w:hyperlink r:id="rId45" w:history="1">
        <w:r w:rsidRPr="002744CA">
          <w:rPr>
            <w:rStyle w:val="Hyperlink"/>
            <w:rFonts w:ascii="Arial" w:hAnsi="Arial" w:cs="Arial"/>
          </w:rPr>
          <w:t>on our website</w:t>
        </w:r>
      </w:hyperlink>
      <w:r w:rsidRPr="002744CA">
        <w:rPr>
          <w:rFonts w:ascii="Arial" w:hAnsi="Arial" w:cs="Arial"/>
        </w:rPr>
        <w:t>.</w:t>
      </w:r>
    </w:p>
    <w:p w14:paraId="763E274C" w14:textId="77777777" w:rsidR="00BB137B" w:rsidRPr="00B557FF" w:rsidRDefault="00BB137B" w:rsidP="00BB137B">
      <w:pPr>
        <w:spacing w:after="0" w:line="240" w:lineRule="auto"/>
        <w:rPr>
          <w:rFonts w:ascii="Arial" w:hAnsi="Arial" w:cs="Arial"/>
        </w:rPr>
      </w:pPr>
    </w:p>
    <w:p w14:paraId="49768AC4" w14:textId="76F542B7" w:rsidR="00BB137B" w:rsidRPr="00B557FF" w:rsidRDefault="00BB137B" w:rsidP="002744CA">
      <w:pPr>
        <w:pStyle w:val="Heading1"/>
        <w:ind w:left="360"/>
      </w:pPr>
      <w:bookmarkStart w:id="30" w:name="_Toc115084542"/>
      <w:r w:rsidRPr="00B557FF">
        <w:t>Monitoring and review</w:t>
      </w:r>
      <w:bookmarkEnd w:id="30"/>
    </w:p>
    <w:p w14:paraId="583FD0DC" w14:textId="7F34F6FD" w:rsidR="00BB137B" w:rsidRPr="002744CA" w:rsidRDefault="00BB137B" w:rsidP="009D3B83">
      <w:pPr>
        <w:pStyle w:val="ListParagraph"/>
        <w:numPr>
          <w:ilvl w:val="0"/>
          <w:numId w:val="5"/>
        </w:numPr>
        <w:spacing w:after="0" w:line="240" w:lineRule="auto"/>
        <w:ind w:hanging="720"/>
        <w:rPr>
          <w:rFonts w:ascii="Arial" w:hAnsi="Arial" w:cs="Arial"/>
        </w:rPr>
      </w:pPr>
      <w:r w:rsidRPr="002744CA">
        <w:rPr>
          <w:rFonts w:ascii="Arial" w:hAnsi="Arial" w:cs="Arial"/>
        </w:rPr>
        <w:t>Th</w:t>
      </w:r>
      <w:r w:rsidR="002744CA" w:rsidRPr="002744CA">
        <w:rPr>
          <w:rFonts w:ascii="Arial" w:hAnsi="Arial" w:cs="Arial"/>
        </w:rPr>
        <w:t>is</w:t>
      </w:r>
      <w:r w:rsidRPr="002744CA">
        <w:rPr>
          <w:rFonts w:ascii="Arial" w:hAnsi="Arial" w:cs="Arial"/>
        </w:rPr>
        <w:t xml:space="preserve"> </w:t>
      </w:r>
      <w:r w:rsidRPr="002744CA">
        <w:rPr>
          <w:rFonts w:ascii="Arial" w:hAnsi="Arial" w:cs="Arial"/>
          <w:i/>
          <w:iCs/>
        </w:rPr>
        <w:t xml:space="preserve">Code of </w:t>
      </w:r>
      <w:r w:rsidR="002744CA" w:rsidRPr="002744CA">
        <w:rPr>
          <w:rFonts w:ascii="Arial" w:hAnsi="Arial" w:cs="Arial"/>
          <w:i/>
          <w:iCs/>
        </w:rPr>
        <w:t>p</w:t>
      </w:r>
      <w:r w:rsidRPr="002744CA">
        <w:rPr>
          <w:rFonts w:ascii="Arial" w:hAnsi="Arial" w:cs="Arial"/>
          <w:i/>
          <w:iCs/>
        </w:rPr>
        <w:t>ractice</w:t>
      </w:r>
      <w:r w:rsidRPr="002744CA">
        <w:rPr>
          <w:rFonts w:ascii="Arial" w:hAnsi="Arial" w:cs="Arial"/>
        </w:rPr>
        <w:t xml:space="preserve"> is reviewed </w:t>
      </w:r>
      <w:r w:rsidR="002744CA">
        <w:rPr>
          <w:rFonts w:ascii="Arial" w:hAnsi="Arial" w:cs="Arial"/>
        </w:rPr>
        <w:t>regularly</w:t>
      </w:r>
      <w:r w:rsidRPr="002744CA">
        <w:rPr>
          <w:rFonts w:ascii="Arial" w:hAnsi="Arial" w:cs="Arial"/>
        </w:rPr>
        <w:t xml:space="preserve"> by the University’s Senior Management Team for Marketing, Recruitment and Admissions and the University Education Committee. </w:t>
      </w:r>
      <w:r w:rsidR="00CC1371">
        <w:rPr>
          <w:rFonts w:ascii="Arial" w:hAnsi="Arial" w:cs="Arial"/>
        </w:rPr>
        <w:t>The next review date is September 2023.</w:t>
      </w:r>
    </w:p>
    <w:p w14:paraId="5EBBA4CB" w14:textId="04D0365A" w:rsidR="00BB137B" w:rsidRPr="00B557FF" w:rsidRDefault="00BB137B" w:rsidP="00BB137B">
      <w:pPr>
        <w:rPr>
          <w:rFonts w:ascii="Arial" w:hAnsi="Arial" w:cs="Arial"/>
        </w:rPr>
      </w:pPr>
    </w:p>
    <w:p w14:paraId="42C1CB53" w14:textId="77777777" w:rsidR="00BB137B" w:rsidRPr="00B557FF" w:rsidRDefault="00BB137B" w:rsidP="00BB137B">
      <w:pPr>
        <w:rPr>
          <w:rFonts w:ascii="Arial" w:hAnsi="Arial" w:cs="Arial"/>
        </w:rPr>
      </w:pPr>
    </w:p>
    <w:bookmarkEnd w:id="8"/>
    <w:p w14:paraId="39CE2AFD" w14:textId="77777777" w:rsidR="002744CA" w:rsidRDefault="002744CA">
      <w:pPr>
        <w:rPr>
          <w:rFonts w:ascii="Arial" w:eastAsia="Times New Roman" w:hAnsi="Arial" w:cs="Arial"/>
          <w:b/>
          <w:bCs/>
          <w:kern w:val="32"/>
          <w:sz w:val="24"/>
          <w:szCs w:val="32"/>
          <w:lang w:eastAsia="en-GB"/>
        </w:rPr>
      </w:pPr>
      <w:r>
        <w:rPr>
          <w:rFonts w:cs="Arial"/>
        </w:rPr>
        <w:br w:type="page"/>
      </w:r>
    </w:p>
    <w:p w14:paraId="6E6DBEF3" w14:textId="78ABB7C6" w:rsidR="00F741FB" w:rsidRDefault="009136CE" w:rsidP="002744CA">
      <w:pPr>
        <w:pStyle w:val="Heading1"/>
        <w:rPr>
          <w:rStyle w:val="Heading2Char"/>
          <w:rFonts w:cs="Times New Roman"/>
          <w:b/>
          <w:bCs/>
          <w:i w:val="0"/>
          <w:szCs w:val="32"/>
        </w:rPr>
      </w:pPr>
      <w:bookmarkStart w:id="31" w:name="_Toc115084543"/>
      <w:r w:rsidRPr="001E1CE5">
        <w:rPr>
          <w:rFonts w:cs="Arial"/>
        </w:rPr>
        <w:lastRenderedPageBreak/>
        <w:t>A</w:t>
      </w:r>
      <w:r w:rsidR="002D1E8B" w:rsidRPr="001E1CE5">
        <w:rPr>
          <w:rFonts w:cs="Arial"/>
        </w:rPr>
        <w:t xml:space="preserve">ppendix </w:t>
      </w:r>
      <w:r w:rsidR="00686C17" w:rsidRPr="001E1CE5">
        <w:rPr>
          <w:rFonts w:cs="Arial"/>
        </w:rPr>
        <w:t>A</w:t>
      </w:r>
      <w:r w:rsidR="002744CA">
        <w:rPr>
          <w:rFonts w:cs="Arial"/>
        </w:rPr>
        <w:t xml:space="preserve"> </w:t>
      </w:r>
      <w:r w:rsidR="00C36E4B" w:rsidRPr="001E1CE5">
        <w:rPr>
          <w:rFonts w:cs="Arial"/>
        </w:rPr>
        <w:t>–</w:t>
      </w:r>
      <w:r w:rsidR="00AB22F7" w:rsidRPr="001E1CE5">
        <w:rPr>
          <w:rFonts w:cs="Arial"/>
        </w:rPr>
        <w:t xml:space="preserve"> </w:t>
      </w:r>
      <w:r w:rsidR="00686C17" w:rsidRPr="002744CA">
        <w:rPr>
          <w:rStyle w:val="Heading2Char"/>
          <w:rFonts w:cs="Times New Roman"/>
          <w:b/>
          <w:bCs/>
          <w:i w:val="0"/>
          <w:szCs w:val="32"/>
        </w:rPr>
        <w:t>Students Under 18</w:t>
      </w:r>
      <w:bookmarkEnd w:id="31"/>
    </w:p>
    <w:p w14:paraId="6EB62C13" w14:textId="77777777" w:rsidR="002744CA" w:rsidRPr="002744CA" w:rsidRDefault="002744CA" w:rsidP="002744CA">
      <w:pPr>
        <w:rPr>
          <w:lang w:eastAsia="en-GB"/>
        </w:rPr>
      </w:pPr>
    </w:p>
    <w:p w14:paraId="6A6B3BA6" w14:textId="63E3E061" w:rsidR="00686C17" w:rsidRPr="00B557FF" w:rsidRDefault="00686C17" w:rsidP="00686C17">
      <w:pPr>
        <w:spacing w:after="0" w:line="240" w:lineRule="auto"/>
        <w:rPr>
          <w:rFonts w:ascii="Arial" w:hAnsi="Arial" w:cs="Arial"/>
          <w:b/>
        </w:rPr>
      </w:pPr>
      <w:r w:rsidRPr="00B557FF">
        <w:rPr>
          <w:rFonts w:ascii="Arial" w:hAnsi="Arial" w:cs="Arial"/>
          <w:b/>
        </w:rPr>
        <w:t>1.    Summary</w:t>
      </w:r>
    </w:p>
    <w:p w14:paraId="2EDC51E8" w14:textId="77777777" w:rsidR="00686C17" w:rsidRPr="00B557FF" w:rsidRDefault="00686C17" w:rsidP="00686C17">
      <w:pPr>
        <w:rPr>
          <w:rFonts w:ascii="Arial" w:hAnsi="Arial" w:cs="Arial"/>
        </w:rPr>
      </w:pPr>
      <w:r w:rsidRPr="00B557FF">
        <w:rPr>
          <w:rFonts w:ascii="Arial" w:hAnsi="Arial" w:cs="Arial"/>
        </w:rPr>
        <w:t>The University may admit students who are under the age of 18 years. In most cases this will be a temporary situation, as the student will be approaching their eighteenth birthday. However, this can differ by programme as some programmes of study are bound by external professional or placement requirements concerning age.</w:t>
      </w:r>
    </w:p>
    <w:p w14:paraId="553EFBC2" w14:textId="77777777" w:rsidR="00686C17" w:rsidRPr="00B557FF" w:rsidRDefault="00686C17" w:rsidP="00686C17">
      <w:pPr>
        <w:rPr>
          <w:rFonts w:ascii="Arial" w:hAnsi="Arial" w:cs="Arial"/>
        </w:rPr>
      </w:pPr>
      <w:r w:rsidRPr="00B557FF">
        <w:rPr>
          <w:rFonts w:ascii="Arial" w:hAnsi="Arial" w:cs="Arial"/>
        </w:rPr>
        <w:t>Applicants who will be under the age of 16 on entry are not permitted to enrol at the University. Any such applicants will, where appropriate, be offered a deferred entry place. If this is not possible, the application will be rejected. The University strongly recommends that applicants who will be under 17 years of age on entry consider carefully whether they would be able to benefit fully from the educational and social opportunities on offer.</w:t>
      </w:r>
    </w:p>
    <w:p w14:paraId="6C4D3071" w14:textId="77777777" w:rsidR="00686C17" w:rsidRPr="00B557FF" w:rsidRDefault="00686C17" w:rsidP="00686C17">
      <w:pPr>
        <w:rPr>
          <w:rFonts w:ascii="Arial" w:hAnsi="Arial" w:cs="Arial"/>
        </w:rPr>
      </w:pPr>
      <w:r w:rsidRPr="00B557FF">
        <w:rPr>
          <w:rFonts w:ascii="Arial" w:hAnsi="Arial" w:cs="Arial"/>
        </w:rPr>
        <w:t xml:space="preserve">The University is an adult environment and treats all its students as independent, mature individuals and students who are under the age of 18 years will be treated in the same way. The University will correspond directly with students under 18 years of age, rather than parents. </w:t>
      </w:r>
    </w:p>
    <w:p w14:paraId="68485FA0" w14:textId="3C0F2029" w:rsidR="00686C17" w:rsidRPr="00B557FF" w:rsidRDefault="00686C17" w:rsidP="00686C17">
      <w:pPr>
        <w:rPr>
          <w:rFonts w:ascii="Arial" w:hAnsi="Arial" w:cs="Arial"/>
        </w:rPr>
      </w:pPr>
      <w:r w:rsidRPr="00B557FF">
        <w:rPr>
          <w:rFonts w:ascii="Arial" w:hAnsi="Arial" w:cs="Arial"/>
        </w:rPr>
        <w:t xml:space="preserve">The usual personal and academic support arrangements will apply to students who are under 18 years. This normally includes the allocation of a personal tutor and, if the student is resident in University campus accommodation, the allocation of a student peer mentor and a </w:t>
      </w:r>
      <w:r w:rsidR="00933EBB">
        <w:rPr>
          <w:rFonts w:ascii="Arial" w:hAnsi="Arial" w:cs="Arial"/>
        </w:rPr>
        <w:t>member of the Residential Life team</w:t>
      </w:r>
      <w:r w:rsidRPr="00B557FF">
        <w:rPr>
          <w:rFonts w:ascii="Arial" w:hAnsi="Arial" w:cs="Arial"/>
        </w:rPr>
        <w:t xml:space="preserve">. A comprehensive range of general and more specialist student services may be available on campus to support individuals with specific learning difficulties or those requiring more specialist (e.g. counselling or mental health) support. </w:t>
      </w:r>
    </w:p>
    <w:p w14:paraId="3B8971A4" w14:textId="77777777" w:rsidR="00686C17" w:rsidRPr="006D3E72" w:rsidRDefault="00686C17" w:rsidP="00686C17">
      <w:pPr>
        <w:rPr>
          <w:rFonts w:ascii="Arial" w:hAnsi="Arial" w:cs="Arial"/>
        </w:rPr>
      </w:pPr>
      <w:r w:rsidRPr="00B557FF">
        <w:rPr>
          <w:rFonts w:ascii="Arial" w:hAnsi="Arial" w:cs="Arial"/>
        </w:rPr>
        <w:t>The University recognises that anyone under the age of 18 living in England is legally a child and that some legal restrictions apply to this group e.g. prohibition on the consumption of alcohol on licensed premises. Applicants who are under 18 should be aware that they are applying to study in an adult environment and there may be a small number of limitations for them at the University while they are under 18.</w:t>
      </w:r>
    </w:p>
    <w:p w14:paraId="091270E3" w14:textId="77777777" w:rsidR="00686C17" w:rsidRPr="00B557FF" w:rsidRDefault="00686C17" w:rsidP="00686C17">
      <w:pPr>
        <w:spacing w:after="0" w:line="240" w:lineRule="auto"/>
        <w:rPr>
          <w:rFonts w:ascii="Arial" w:hAnsi="Arial" w:cs="Arial"/>
        </w:rPr>
      </w:pPr>
    </w:p>
    <w:p w14:paraId="23816E9C" w14:textId="77777777" w:rsidR="00686C17" w:rsidRPr="00B557FF" w:rsidRDefault="00686C17" w:rsidP="00686C17">
      <w:pPr>
        <w:spacing w:after="0" w:line="240" w:lineRule="auto"/>
        <w:rPr>
          <w:rFonts w:ascii="Arial" w:hAnsi="Arial" w:cs="Arial"/>
          <w:b/>
        </w:rPr>
      </w:pPr>
      <w:r w:rsidRPr="00B557FF">
        <w:rPr>
          <w:rFonts w:ascii="Arial" w:hAnsi="Arial" w:cs="Arial"/>
          <w:b/>
        </w:rPr>
        <w:t>2.    Parental Responsibilities</w:t>
      </w:r>
    </w:p>
    <w:p w14:paraId="377D2EB7" w14:textId="77777777" w:rsidR="00686C17" w:rsidRPr="00B557FF" w:rsidRDefault="00686C17" w:rsidP="00686C17">
      <w:pPr>
        <w:rPr>
          <w:rFonts w:ascii="Arial" w:hAnsi="Arial" w:cs="Arial"/>
        </w:rPr>
      </w:pPr>
      <w:r w:rsidRPr="00B557FF">
        <w:rPr>
          <w:rFonts w:ascii="Arial" w:hAnsi="Arial" w:cs="Arial"/>
        </w:rPr>
        <w:t xml:space="preserve">The University is not able to take on the usual rights, responsibilities and authority that parents or legal guardian(s) have in relation to a child, and it will not act in loco parentis in relation to students who are under the age of 18 years. </w:t>
      </w:r>
    </w:p>
    <w:p w14:paraId="5875E65D" w14:textId="77777777" w:rsidR="00686C17" w:rsidRPr="00B557FF" w:rsidRDefault="00686C17" w:rsidP="00686C17">
      <w:pPr>
        <w:rPr>
          <w:rFonts w:ascii="Arial" w:hAnsi="Arial" w:cs="Arial"/>
        </w:rPr>
      </w:pPr>
      <w:r w:rsidRPr="00B557FF">
        <w:rPr>
          <w:rFonts w:ascii="Arial" w:hAnsi="Arial" w:cs="Arial"/>
        </w:rPr>
        <w:t xml:space="preserve">International students aged 16 or 17 must obtain the written consent of a parent or legal guardian(s) that they can live and travel independently when applying for a UK student visa. </w:t>
      </w:r>
    </w:p>
    <w:p w14:paraId="0A57014C" w14:textId="77777777" w:rsidR="00686C17" w:rsidRPr="00B557FF" w:rsidRDefault="00686C17" w:rsidP="00686C17">
      <w:pPr>
        <w:spacing w:after="0" w:line="240" w:lineRule="auto"/>
        <w:rPr>
          <w:rFonts w:ascii="Arial" w:hAnsi="Arial" w:cs="Arial"/>
        </w:rPr>
      </w:pPr>
    </w:p>
    <w:p w14:paraId="46D96DCB" w14:textId="77777777" w:rsidR="00686C17" w:rsidRPr="00B557FF" w:rsidRDefault="00686C17" w:rsidP="00686C17">
      <w:pPr>
        <w:spacing w:after="0" w:line="240" w:lineRule="auto"/>
        <w:rPr>
          <w:rFonts w:ascii="Arial" w:hAnsi="Arial" w:cs="Arial"/>
          <w:b/>
        </w:rPr>
      </w:pPr>
      <w:r w:rsidRPr="00B557FF">
        <w:rPr>
          <w:rFonts w:ascii="Arial" w:hAnsi="Arial" w:cs="Arial"/>
          <w:b/>
        </w:rPr>
        <w:t xml:space="preserve">3.   Contracts </w:t>
      </w:r>
    </w:p>
    <w:p w14:paraId="1E55CC88" w14:textId="77777777" w:rsidR="00686C17" w:rsidRPr="00B557FF" w:rsidRDefault="00686C17" w:rsidP="00686C17">
      <w:pPr>
        <w:rPr>
          <w:rFonts w:ascii="Arial" w:hAnsi="Arial" w:cs="Arial"/>
        </w:rPr>
      </w:pPr>
      <w:r w:rsidRPr="00B557FF">
        <w:rPr>
          <w:rFonts w:ascii="Arial" w:hAnsi="Arial" w:cs="Arial"/>
        </w:rPr>
        <w:t xml:space="preserve">A person of 16 or 17 has the status to enter into necessary contracts for education and accommodation but until their 18th birthday will not be legally competent to enter into all legal contracts. The University reserves the right, where a person must be aged 18 or over to be legally competent to enter into a contract the University, to require a student’s parents to honour all obligations (under any contracts with the University) that the student enters into prior to his or her 18th birthday. </w:t>
      </w:r>
    </w:p>
    <w:p w14:paraId="3C355EFF" w14:textId="77777777" w:rsidR="00686C17" w:rsidRPr="00B557FF" w:rsidRDefault="00686C17" w:rsidP="00686C17">
      <w:pPr>
        <w:autoSpaceDE w:val="0"/>
        <w:autoSpaceDN w:val="0"/>
        <w:adjustRightInd w:val="0"/>
        <w:spacing w:after="0" w:line="240" w:lineRule="auto"/>
        <w:rPr>
          <w:rFonts w:ascii="Arial" w:hAnsi="Arial" w:cs="Arial"/>
          <w:b/>
        </w:rPr>
      </w:pPr>
    </w:p>
    <w:p w14:paraId="668A43A9" w14:textId="77777777" w:rsidR="00686C17" w:rsidRPr="00B557FF" w:rsidRDefault="00686C17" w:rsidP="00686C17">
      <w:pPr>
        <w:spacing w:after="0" w:line="240" w:lineRule="auto"/>
        <w:rPr>
          <w:rFonts w:ascii="Arial" w:hAnsi="Arial" w:cs="Arial"/>
          <w:b/>
        </w:rPr>
      </w:pPr>
      <w:r w:rsidRPr="00B557FF">
        <w:rPr>
          <w:rFonts w:ascii="Arial" w:hAnsi="Arial" w:cs="Arial"/>
          <w:b/>
        </w:rPr>
        <w:t>4.   Student Accommodation</w:t>
      </w:r>
    </w:p>
    <w:p w14:paraId="6152A13B" w14:textId="77777777" w:rsidR="00686C17" w:rsidRPr="00B557FF" w:rsidRDefault="00686C17" w:rsidP="00686C17">
      <w:pPr>
        <w:rPr>
          <w:rFonts w:ascii="Arial" w:hAnsi="Arial" w:cs="Arial"/>
        </w:rPr>
      </w:pPr>
      <w:r w:rsidRPr="00B557FF">
        <w:rPr>
          <w:rFonts w:ascii="Arial" w:hAnsi="Arial" w:cs="Arial"/>
        </w:rPr>
        <w:t xml:space="preserve">Parents and legal guardians should recognise that residential accommodation offered by the University is generally intended for the use of adults and that special arrangements cannot be made for students who are under the age of 18 years. Other students who share accommodation with those under 18 are not advised of this and the University has no right or ability to undertake UK Disclosure and Barring Service (safeguarding) checks on those who live or study with students who are under 18 years of age. </w:t>
      </w:r>
    </w:p>
    <w:p w14:paraId="7DE9EF3D" w14:textId="77777777" w:rsidR="00686C17" w:rsidRPr="00B557FF" w:rsidRDefault="00686C17" w:rsidP="00686C17">
      <w:pPr>
        <w:spacing w:after="0" w:line="240" w:lineRule="auto"/>
        <w:rPr>
          <w:rFonts w:ascii="Arial" w:hAnsi="Arial" w:cs="Arial"/>
          <w:b/>
          <w:color w:val="000000" w:themeColor="text1"/>
        </w:rPr>
      </w:pPr>
      <w:r w:rsidRPr="00B557FF">
        <w:rPr>
          <w:rFonts w:ascii="Arial" w:hAnsi="Arial" w:cs="Arial"/>
          <w:b/>
          <w:color w:val="000000" w:themeColor="text1"/>
        </w:rPr>
        <w:t>5</w:t>
      </w:r>
      <w:r w:rsidRPr="00B557FF">
        <w:rPr>
          <w:rFonts w:ascii="Arial" w:hAnsi="Arial" w:cs="Arial"/>
          <w:color w:val="000000" w:themeColor="text1"/>
        </w:rPr>
        <w:t>.</w:t>
      </w:r>
      <w:r w:rsidRPr="00B557FF">
        <w:rPr>
          <w:rFonts w:ascii="Arial" w:hAnsi="Arial" w:cs="Arial"/>
          <w:b/>
          <w:color w:val="000000" w:themeColor="text1"/>
        </w:rPr>
        <w:t xml:space="preserve">   Internet Access</w:t>
      </w:r>
    </w:p>
    <w:p w14:paraId="128BFB7D" w14:textId="77777777" w:rsidR="00686C17" w:rsidRPr="00B557FF" w:rsidRDefault="00686C17" w:rsidP="00686C17">
      <w:pPr>
        <w:rPr>
          <w:rFonts w:ascii="Arial" w:hAnsi="Arial" w:cs="Arial"/>
        </w:rPr>
      </w:pPr>
      <w:r w:rsidRPr="00B557FF">
        <w:rPr>
          <w:rFonts w:ascii="Arial" w:hAnsi="Arial" w:cs="Arial"/>
        </w:rPr>
        <w:t xml:space="preserve">Parents and legal guardians of students under 18 should note that internet access is unrestricted at the University. It is not possible for the University to limit access to any particular sites or categories of information. Students under 18 will be expected to observe the same rules and regulations about acceptable use of the internet as all other students. </w:t>
      </w:r>
    </w:p>
    <w:p w14:paraId="5BC2C759" w14:textId="77777777" w:rsidR="00686C17" w:rsidRPr="00B557FF" w:rsidRDefault="00686C17" w:rsidP="00686C17">
      <w:pPr>
        <w:spacing w:after="0" w:line="240" w:lineRule="auto"/>
        <w:rPr>
          <w:rFonts w:ascii="Arial" w:hAnsi="Arial" w:cs="Arial"/>
          <w:b/>
        </w:rPr>
      </w:pPr>
      <w:r w:rsidRPr="00B557FF">
        <w:rPr>
          <w:rFonts w:ascii="Arial" w:hAnsi="Arial" w:cs="Arial"/>
          <w:b/>
        </w:rPr>
        <w:t>6.   Field trips</w:t>
      </w:r>
    </w:p>
    <w:p w14:paraId="5A669253" w14:textId="77777777" w:rsidR="00686C17" w:rsidRPr="00B557FF" w:rsidRDefault="00686C17" w:rsidP="00686C17">
      <w:pPr>
        <w:rPr>
          <w:rFonts w:ascii="Arial" w:hAnsi="Arial" w:cs="Arial"/>
        </w:rPr>
      </w:pPr>
      <w:r w:rsidRPr="00B557FF">
        <w:rPr>
          <w:rFonts w:ascii="Arial" w:hAnsi="Arial" w:cs="Arial"/>
        </w:rPr>
        <w:t xml:space="preserve">Programmes may involve compulsory or optional field trips, excursions or other periods of study away from the University. Subject to the University’s duties under health and safety law, the University is not able to take any additional responsibility for a student who is under the age of 18 years in relation to such activities. </w:t>
      </w:r>
    </w:p>
    <w:p w14:paraId="453186A4" w14:textId="77777777" w:rsidR="00686C17" w:rsidRPr="00B557FF" w:rsidRDefault="00686C17" w:rsidP="00686C17">
      <w:pPr>
        <w:spacing w:after="0"/>
        <w:rPr>
          <w:rFonts w:ascii="Arial" w:hAnsi="Arial" w:cs="Arial"/>
          <w:b/>
        </w:rPr>
      </w:pPr>
      <w:r w:rsidRPr="00B557FF">
        <w:rPr>
          <w:rFonts w:ascii="Arial" w:hAnsi="Arial" w:cs="Arial"/>
          <w:b/>
        </w:rPr>
        <w:t>7.    Alcohol and Tobacco</w:t>
      </w:r>
    </w:p>
    <w:p w14:paraId="18070ED5" w14:textId="77777777" w:rsidR="00686C17" w:rsidRPr="00B557FF" w:rsidRDefault="00686C17" w:rsidP="00686C17">
      <w:pPr>
        <w:rPr>
          <w:rFonts w:ascii="Arial" w:hAnsi="Arial" w:cs="Arial"/>
          <w:b/>
        </w:rPr>
      </w:pPr>
      <w:r w:rsidRPr="00B557FF">
        <w:rPr>
          <w:rFonts w:ascii="Arial" w:hAnsi="Arial" w:cs="Arial"/>
        </w:rPr>
        <w:t>It is</w:t>
      </w:r>
      <w:r w:rsidRPr="00B557FF">
        <w:rPr>
          <w:rFonts w:ascii="Arial" w:hAnsi="Arial" w:cs="Arial"/>
          <w:b/>
        </w:rPr>
        <w:t xml:space="preserve"> </w:t>
      </w:r>
      <w:r w:rsidRPr="00B557FF">
        <w:rPr>
          <w:rFonts w:ascii="Arial" w:hAnsi="Arial" w:cs="Arial"/>
        </w:rPr>
        <w:t xml:space="preserve">illegal for alcohol or tobacco to be sold to, or bought by, individuals who are under the age of 18 years. The University will take reasonable steps to seek to ensure that the law is not broken in relation to licensed premises under the University’s control but cannot undertake to supervise any individual student. The Students' Union is responsible for ensuring that appropriate arrangements are in place for its own licensed premises. </w:t>
      </w:r>
    </w:p>
    <w:p w14:paraId="4ED8BAA0" w14:textId="77777777" w:rsidR="00686C17" w:rsidRPr="00B557FF" w:rsidRDefault="00686C17" w:rsidP="00686C17">
      <w:pPr>
        <w:spacing w:after="0" w:line="240" w:lineRule="auto"/>
        <w:rPr>
          <w:rFonts w:ascii="Arial" w:hAnsi="Arial" w:cs="Arial"/>
          <w:b/>
        </w:rPr>
      </w:pPr>
      <w:r w:rsidRPr="00B557FF">
        <w:rPr>
          <w:rFonts w:ascii="Arial" w:hAnsi="Arial" w:cs="Arial"/>
          <w:b/>
        </w:rPr>
        <w:t>8.   Holding office</w:t>
      </w:r>
    </w:p>
    <w:p w14:paraId="6B7C680F" w14:textId="77777777" w:rsidR="00686C17" w:rsidRPr="00B557FF" w:rsidRDefault="00686C17" w:rsidP="00686C17">
      <w:pPr>
        <w:rPr>
          <w:rFonts w:ascii="Arial" w:hAnsi="Arial" w:cs="Arial"/>
        </w:rPr>
      </w:pPr>
      <w:r w:rsidRPr="00B557FF">
        <w:rPr>
          <w:rFonts w:ascii="Arial" w:hAnsi="Arial" w:cs="Arial"/>
        </w:rPr>
        <w:t xml:space="preserve">Students who are under 18 years are not allowed to hold office, for example, they may not be secretary or treasurer to a sports club or other students’ association. </w:t>
      </w:r>
    </w:p>
    <w:p w14:paraId="1A37B6D9" w14:textId="77777777" w:rsidR="00686C17" w:rsidRPr="00B557FF" w:rsidRDefault="00686C17" w:rsidP="00686C17">
      <w:pPr>
        <w:spacing w:after="0" w:line="240" w:lineRule="auto"/>
        <w:rPr>
          <w:rFonts w:ascii="Arial" w:hAnsi="Arial" w:cs="Arial"/>
          <w:b/>
        </w:rPr>
      </w:pPr>
      <w:r w:rsidRPr="00B557FF">
        <w:rPr>
          <w:rFonts w:ascii="Arial" w:hAnsi="Arial" w:cs="Arial"/>
          <w:b/>
        </w:rPr>
        <w:t>9.   Relationships with staff</w:t>
      </w:r>
    </w:p>
    <w:p w14:paraId="666E5076" w14:textId="77777777" w:rsidR="00686C17" w:rsidRPr="00B557FF" w:rsidRDefault="00686C17" w:rsidP="00686C17">
      <w:pPr>
        <w:rPr>
          <w:rFonts w:ascii="Arial" w:hAnsi="Arial" w:cs="Arial"/>
        </w:rPr>
      </w:pPr>
      <w:r w:rsidRPr="00B557FF">
        <w:rPr>
          <w:rFonts w:ascii="Arial" w:hAnsi="Arial" w:cs="Arial"/>
        </w:rPr>
        <w:t xml:space="preserve">Under the Sexual Offences (Amendment) Act 2000, it is a criminal offence for any person in a position of trust (which may include members of University staff) to engage in sexual activity with someone who is under 18 years. </w:t>
      </w:r>
    </w:p>
    <w:p w14:paraId="5F9F3353" w14:textId="77777777" w:rsidR="00686C17" w:rsidRPr="00B557FF" w:rsidRDefault="00686C17" w:rsidP="00686C17">
      <w:pPr>
        <w:spacing w:after="0" w:line="240" w:lineRule="auto"/>
        <w:rPr>
          <w:rFonts w:ascii="Arial" w:hAnsi="Arial" w:cs="Arial"/>
          <w:b/>
        </w:rPr>
      </w:pPr>
      <w:r w:rsidRPr="00B557FF">
        <w:rPr>
          <w:rFonts w:ascii="Arial" w:hAnsi="Arial" w:cs="Arial"/>
          <w:b/>
        </w:rPr>
        <w:t xml:space="preserve">10.   Child protection </w:t>
      </w:r>
    </w:p>
    <w:p w14:paraId="7980EF69" w14:textId="77777777" w:rsidR="00686C17" w:rsidRPr="00B557FF" w:rsidRDefault="00686C17" w:rsidP="00686C17">
      <w:pPr>
        <w:rPr>
          <w:rFonts w:ascii="Arial" w:hAnsi="Arial" w:cs="Arial"/>
        </w:rPr>
      </w:pPr>
      <w:r w:rsidRPr="00B557FF">
        <w:rPr>
          <w:rFonts w:ascii="Arial" w:hAnsi="Arial" w:cs="Arial"/>
        </w:rPr>
        <w:t xml:space="preserve">As a matter of law in England, a person under the age of 18 is a child. Where appropriate, the University will report any suspicions or allegations of abuse of children to Local Authority Social Services in accordance with the University’s Child Protection policy. </w:t>
      </w:r>
    </w:p>
    <w:p w14:paraId="3D58F2E2" w14:textId="77777777" w:rsidR="00686C17" w:rsidRPr="00B557FF" w:rsidRDefault="00686C17" w:rsidP="00686C17">
      <w:pPr>
        <w:spacing w:after="0" w:line="240" w:lineRule="auto"/>
        <w:rPr>
          <w:rFonts w:ascii="Arial" w:hAnsi="Arial" w:cs="Arial"/>
          <w:b/>
        </w:rPr>
      </w:pPr>
      <w:r w:rsidRPr="00B557FF">
        <w:rPr>
          <w:rFonts w:ascii="Arial" w:hAnsi="Arial" w:cs="Arial"/>
          <w:b/>
        </w:rPr>
        <w:t xml:space="preserve">11.   Notification </w:t>
      </w:r>
    </w:p>
    <w:p w14:paraId="186AAFE1" w14:textId="2B51A15C" w:rsidR="00686C17" w:rsidRPr="00B557FF" w:rsidRDefault="00686C17" w:rsidP="00686C17">
      <w:pPr>
        <w:rPr>
          <w:rFonts w:ascii="Arial" w:hAnsi="Arial" w:cs="Arial"/>
        </w:rPr>
      </w:pPr>
      <w:r w:rsidRPr="00B557FF">
        <w:rPr>
          <w:rFonts w:ascii="Arial" w:hAnsi="Arial" w:cs="Arial"/>
        </w:rPr>
        <w:t xml:space="preserve">The </w:t>
      </w:r>
      <w:r w:rsidR="00933EBB">
        <w:rPr>
          <w:rFonts w:ascii="Arial" w:hAnsi="Arial" w:cs="Arial"/>
        </w:rPr>
        <w:t>Residential Life team</w:t>
      </w:r>
      <w:r w:rsidRPr="00B557FF">
        <w:rPr>
          <w:rFonts w:ascii="Arial" w:hAnsi="Arial" w:cs="Arial"/>
        </w:rPr>
        <w:t xml:space="preserve"> in campus accommodation and Head of Wellbeing and Welfare will have access to details of students who will be under the age of 18 years on entry to the University. Teaching and other staff will not routinely be made aware of a student’s age. </w:t>
      </w:r>
    </w:p>
    <w:p w14:paraId="49DBF305" w14:textId="77777777" w:rsidR="00686C17" w:rsidRPr="00B557FF" w:rsidRDefault="00686C17" w:rsidP="00686C17">
      <w:pPr>
        <w:spacing w:after="0" w:line="240" w:lineRule="auto"/>
        <w:rPr>
          <w:rFonts w:ascii="Arial" w:hAnsi="Arial" w:cs="Arial"/>
          <w:b/>
        </w:rPr>
      </w:pPr>
      <w:r w:rsidRPr="00B557FF">
        <w:rPr>
          <w:rFonts w:ascii="Arial" w:hAnsi="Arial" w:cs="Arial"/>
          <w:b/>
        </w:rPr>
        <w:t xml:space="preserve">12.   Parental involvement </w:t>
      </w:r>
    </w:p>
    <w:p w14:paraId="1606F616" w14:textId="77777777" w:rsidR="00686C17" w:rsidRPr="00B557FF" w:rsidRDefault="00686C17" w:rsidP="00686C17">
      <w:pPr>
        <w:rPr>
          <w:rFonts w:ascii="Arial" w:hAnsi="Arial" w:cs="Arial"/>
        </w:rPr>
      </w:pPr>
      <w:r w:rsidRPr="00B557FF">
        <w:rPr>
          <w:rFonts w:ascii="Arial" w:hAnsi="Arial" w:cs="Arial"/>
        </w:rPr>
        <w:t xml:space="preserve">It is the University’s usual policy that it deals with students (with whom it has a contractual relationship) and not with parents or legal guardians. This approach will also apply to students who are under the age of 18 years. </w:t>
      </w:r>
    </w:p>
    <w:p w14:paraId="4D194582" w14:textId="77777777" w:rsidR="00686C17" w:rsidRPr="00B557FF" w:rsidRDefault="00686C17" w:rsidP="00686C17">
      <w:pPr>
        <w:spacing w:after="0" w:line="240" w:lineRule="auto"/>
        <w:rPr>
          <w:rFonts w:ascii="Arial" w:hAnsi="Arial" w:cs="Arial"/>
          <w:color w:val="000000" w:themeColor="text1"/>
        </w:rPr>
      </w:pPr>
    </w:p>
    <w:p w14:paraId="5D8C78DF" w14:textId="77777777" w:rsidR="00686C17" w:rsidRPr="00B557FF" w:rsidRDefault="00686C17" w:rsidP="00686C17">
      <w:pPr>
        <w:spacing w:after="0" w:line="240" w:lineRule="auto"/>
        <w:rPr>
          <w:rFonts w:ascii="Arial" w:hAnsi="Arial" w:cs="Arial"/>
          <w:color w:val="000000" w:themeColor="text1"/>
        </w:rPr>
      </w:pPr>
      <w:r w:rsidRPr="00B557FF">
        <w:rPr>
          <w:rFonts w:ascii="Arial" w:hAnsi="Arial" w:cs="Arial"/>
          <w:b/>
        </w:rPr>
        <w:t xml:space="preserve">13.   Emergency contact </w:t>
      </w:r>
    </w:p>
    <w:p w14:paraId="7105EB62" w14:textId="79D8C5B1" w:rsidR="00686C17" w:rsidRDefault="00686C17" w:rsidP="00686C17">
      <w:pPr>
        <w:rPr>
          <w:rFonts w:ascii="Arial" w:hAnsi="Arial" w:cs="Arial"/>
        </w:rPr>
      </w:pPr>
      <w:r w:rsidRPr="00B557FF">
        <w:rPr>
          <w:rFonts w:ascii="Arial" w:hAnsi="Arial" w:cs="Arial"/>
        </w:rPr>
        <w:t>Students who have not attained the age of 18 can have their refusal to receive medical treatment overridden by parents or legal guardians. However, please note that a child from the age of 16 is entitled to consent to medical treatment, and that such consent cannot be overruled by parents/ legal guardians.</w:t>
      </w:r>
    </w:p>
    <w:p w14:paraId="1B4E4EAE" w14:textId="46CEC300" w:rsidR="0082287B" w:rsidRPr="0082287B" w:rsidRDefault="0082287B" w:rsidP="0082287B">
      <w:pPr>
        <w:spacing w:after="0" w:line="240" w:lineRule="auto"/>
        <w:rPr>
          <w:rFonts w:ascii="Arial" w:hAnsi="Arial" w:cs="Arial"/>
          <w:b/>
        </w:rPr>
      </w:pPr>
      <w:r w:rsidRPr="0082287B">
        <w:rPr>
          <w:rFonts w:ascii="Arial" w:hAnsi="Arial" w:cs="Arial"/>
          <w:b/>
        </w:rPr>
        <w:t>14. Monitoring and review</w:t>
      </w:r>
    </w:p>
    <w:p w14:paraId="62F6EDAA" w14:textId="3D280957" w:rsidR="0082287B" w:rsidRPr="00A633FA" w:rsidRDefault="0082287B" w:rsidP="0082287B">
      <w:pPr>
        <w:spacing w:before="100" w:beforeAutospacing="1" w:after="100" w:afterAutospacing="1" w:line="300" w:lineRule="atLeast"/>
        <w:rPr>
          <w:rFonts w:asciiTheme="minorBidi" w:eastAsia="Times New Roman" w:hAnsiTheme="minorBidi"/>
          <w:color w:val="1F497D" w:themeColor="text2"/>
          <w:lang w:val="en" w:eastAsia="en-GB"/>
        </w:rPr>
      </w:pPr>
      <w:r w:rsidRPr="00A633FA">
        <w:rPr>
          <w:rFonts w:asciiTheme="minorBidi" w:hAnsiTheme="minorBidi"/>
        </w:rPr>
        <w:t xml:space="preserve">The </w:t>
      </w:r>
      <w:r w:rsidRPr="002744CA">
        <w:rPr>
          <w:rFonts w:asciiTheme="minorBidi" w:hAnsiTheme="minorBidi"/>
          <w:i/>
          <w:iCs/>
        </w:rPr>
        <w:t xml:space="preserve">Code of </w:t>
      </w:r>
      <w:r w:rsidR="002744CA" w:rsidRPr="002744CA">
        <w:rPr>
          <w:rFonts w:asciiTheme="minorBidi" w:hAnsiTheme="minorBidi"/>
          <w:i/>
          <w:iCs/>
        </w:rPr>
        <w:t>p</w:t>
      </w:r>
      <w:r w:rsidRPr="002744CA">
        <w:rPr>
          <w:rFonts w:asciiTheme="minorBidi" w:hAnsiTheme="minorBidi"/>
          <w:i/>
          <w:iCs/>
        </w:rPr>
        <w:t>ractice</w:t>
      </w:r>
      <w:r w:rsidR="002744CA" w:rsidRPr="002744CA">
        <w:rPr>
          <w:rFonts w:asciiTheme="minorBidi" w:hAnsiTheme="minorBidi"/>
          <w:i/>
          <w:iCs/>
        </w:rPr>
        <w:t xml:space="preserve"> for undergraduate admissions</w:t>
      </w:r>
      <w:r w:rsidRPr="00A633FA">
        <w:rPr>
          <w:rFonts w:asciiTheme="minorBidi" w:hAnsiTheme="minorBidi"/>
        </w:rPr>
        <w:t xml:space="preserve"> is reviewed </w:t>
      </w:r>
      <w:r w:rsidR="002744CA">
        <w:rPr>
          <w:rFonts w:asciiTheme="minorBidi" w:hAnsiTheme="minorBidi"/>
        </w:rPr>
        <w:t xml:space="preserve">regularly </w:t>
      </w:r>
      <w:r w:rsidRPr="00A633FA">
        <w:rPr>
          <w:rFonts w:asciiTheme="minorBidi" w:hAnsiTheme="minorBidi"/>
        </w:rPr>
        <w:t>by the University’s Senior Management Team for Marketing, Recruitment and Admissions and the University Education Committee.</w:t>
      </w:r>
    </w:p>
    <w:p w14:paraId="0C2500CE" w14:textId="029C88BA" w:rsidR="00686C17" w:rsidRPr="00B557FF" w:rsidRDefault="00686C17" w:rsidP="00686C17">
      <w:pPr>
        <w:rPr>
          <w:rFonts w:ascii="Arial" w:hAnsi="Arial" w:cs="Arial"/>
        </w:rPr>
      </w:pPr>
    </w:p>
    <w:p w14:paraId="7275FEE7" w14:textId="77777777" w:rsidR="002744CA" w:rsidRDefault="002744CA">
      <w:pPr>
        <w:rPr>
          <w:rFonts w:ascii="Arial" w:eastAsia="Times New Roman" w:hAnsi="Arial" w:cs="Times New Roman"/>
          <w:b/>
          <w:bCs/>
          <w:kern w:val="32"/>
          <w:sz w:val="24"/>
          <w:szCs w:val="32"/>
          <w:lang w:eastAsia="en-GB"/>
        </w:rPr>
      </w:pPr>
      <w:r>
        <w:br w:type="page"/>
      </w:r>
    </w:p>
    <w:p w14:paraId="68F365AB" w14:textId="10288C3C" w:rsidR="00EB0F3A" w:rsidRPr="002744CA" w:rsidRDefault="00EB0F3A" w:rsidP="002744CA">
      <w:pPr>
        <w:pStyle w:val="Heading1"/>
      </w:pPr>
      <w:bookmarkStart w:id="32" w:name="_Toc115084544"/>
      <w:r w:rsidRPr="002744CA">
        <w:lastRenderedPageBreak/>
        <w:t xml:space="preserve">Appendix </w:t>
      </w:r>
      <w:r w:rsidR="002744CA" w:rsidRPr="002744CA">
        <w:t xml:space="preserve">B </w:t>
      </w:r>
      <w:r w:rsidR="000E67C1" w:rsidRPr="002744CA">
        <w:t xml:space="preserve">- </w:t>
      </w:r>
      <w:r w:rsidRPr="002744CA">
        <w:t>Admissions Complaints guidance</w:t>
      </w:r>
      <w:bookmarkEnd w:id="32"/>
    </w:p>
    <w:p w14:paraId="50B53F44" w14:textId="233310C6" w:rsidR="000E67C1" w:rsidRPr="002744CA" w:rsidRDefault="000E67C1" w:rsidP="002744CA">
      <w:pPr>
        <w:spacing w:after="0" w:line="240" w:lineRule="auto"/>
        <w:rPr>
          <w:rFonts w:ascii="Arial" w:hAnsi="Arial" w:cs="Arial"/>
          <w:b/>
        </w:rPr>
      </w:pPr>
      <w:r w:rsidRPr="002744CA">
        <w:rPr>
          <w:rFonts w:ascii="Arial" w:hAnsi="Arial" w:cs="Arial"/>
          <w:b/>
        </w:rPr>
        <w:t>Summary</w:t>
      </w:r>
    </w:p>
    <w:p w14:paraId="5448FEDA" w14:textId="66AFFA63" w:rsidR="000E67C1" w:rsidRPr="002744CA" w:rsidRDefault="002744CA" w:rsidP="002744CA">
      <w:pPr>
        <w:spacing w:after="0" w:line="240" w:lineRule="auto"/>
        <w:ind w:left="709" w:hanging="425"/>
        <w:rPr>
          <w:rFonts w:ascii="Arial" w:hAnsi="Arial" w:cs="Arial"/>
          <w:color w:val="000000" w:themeColor="text1"/>
          <w:szCs w:val="24"/>
        </w:rPr>
      </w:pPr>
      <w:r w:rsidRPr="002744CA">
        <w:rPr>
          <w:rFonts w:ascii="Arial" w:hAnsi="Arial" w:cs="Arial"/>
          <w:color w:val="000000" w:themeColor="text1"/>
          <w:szCs w:val="24"/>
        </w:rPr>
        <w:t xml:space="preserve">1. </w:t>
      </w:r>
      <w:r>
        <w:rPr>
          <w:rFonts w:ascii="Arial" w:hAnsi="Arial" w:cs="Arial"/>
          <w:color w:val="000000" w:themeColor="text1"/>
          <w:szCs w:val="24"/>
        </w:rPr>
        <w:tab/>
      </w:r>
      <w:r w:rsidR="000E67C1" w:rsidRPr="002744CA">
        <w:rPr>
          <w:rFonts w:ascii="Arial" w:hAnsi="Arial" w:cs="Arial"/>
          <w:color w:val="000000" w:themeColor="text1"/>
          <w:szCs w:val="24"/>
        </w:rPr>
        <w:t>The University of Surrey is committed to delivering a high quality, efficient and fair admissions service in line with its selection criteria and policy. In the event that an applicant wishes to make a formal complaint, the University will follow this</w:t>
      </w:r>
      <w:hyperlink r:id="rId46" w:history="1">
        <w:r w:rsidR="000E67C1" w:rsidRPr="002744CA">
          <w:rPr>
            <w:szCs w:val="24"/>
          </w:rPr>
          <w:t xml:space="preserve"> procedure</w:t>
        </w:r>
      </w:hyperlink>
      <w:r w:rsidR="000E67C1" w:rsidRPr="002744CA">
        <w:rPr>
          <w:rFonts w:ascii="Arial" w:hAnsi="Arial" w:cs="Arial"/>
          <w:color w:val="000000" w:themeColor="text1"/>
          <w:szCs w:val="24"/>
        </w:rPr>
        <w:t xml:space="preserve"> to ensure that all complaints are dealt with fairly, promptly, consistently and with due regard to the Equalities Act. </w:t>
      </w:r>
    </w:p>
    <w:p w14:paraId="0F65C14C" w14:textId="77777777" w:rsidR="000E67C1" w:rsidRPr="00B557FF" w:rsidRDefault="000E67C1" w:rsidP="002744CA">
      <w:pPr>
        <w:spacing w:after="0" w:line="240" w:lineRule="auto"/>
        <w:ind w:left="709" w:hanging="425"/>
        <w:rPr>
          <w:rFonts w:ascii="Arial" w:hAnsi="Arial" w:cs="Arial"/>
        </w:rPr>
      </w:pPr>
    </w:p>
    <w:p w14:paraId="3C9BD628" w14:textId="51C669CE" w:rsidR="000E67C1" w:rsidRPr="00B557FF" w:rsidRDefault="000E67C1" w:rsidP="002744CA">
      <w:pPr>
        <w:spacing w:after="0" w:line="240" w:lineRule="auto"/>
        <w:ind w:left="709" w:hanging="425"/>
        <w:rPr>
          <w:rFonts w:ascii="Arial" w:hAnsi="Arial" w:cs="Arial"/>
          <w:b/>
        </w:rPr>
      </w:pPr>
      <w:r w:rsidRPr="00B557FF">
        <w:rPr>
          <w:rFonts w:ascii="Arial" w:hAnsi="Arial" w:cs="Arial"/>
          <w:b/>
        </w:rPr>
        <w:t>Scope</w:t>
      </w:r>
    </w:p>
    <w:p w14:paraId="4173806B" w14:textId="0825851B" w:rsidR="000E67C1" w:rsidRPr="00B557FF" w:rsidRDefault="002744CA" w:rsidP="002744CA">
      <w:pPr>
        <w:spacing w:after="0" w:line="240" w:lineRule="auto"/>
        <w:ind w:left="709" w:hanging="425"/>
        <w:rPr>
          <w:rFonts w:ascii="Arial" w:hAnsi="Arial" w:cs="Arial"/>
        </w:rPr>
      </w:pPr>
      <w:r>
        <w:rPr>
          <w:rFonts w:ascii="Arial" w:hAnsi="Arial" w:cs="Arial"/>
        </w:rPr>
        <w:t xml:space="preserve">2. </w:t>
      </w:r>
      <w:r>
        <w:rPr>
          <w:rFonts w:ascii="Arial" w:hAnsi="Arial" w:cs="Arial"/>
        </w:rPr>
        <w:tab/>
      </w:r>
      <w:r w:rsidR="000E67C1" w:rsidRPr="00B557FF">
        <w:rPr>
          <w:rFonts w:ascii="Arial" w:hAnsi="Arial" w:cs="Arial"/>
        </w:rPr>
        <w:t xml:space="preserve">These procedures set out how an applicant may raise a complaint about the admission process. </w:t>
      </w:r>
    </w:p>
    <w:p w14:paraId="07125214" w14:textId="77777777" w:rsidR="000E67C1" w:rsidRPr="00B557FF" w:rsidRDefault="000E67C1" w:rsidP="002744CA">
      <w:pPr>
        <w:spacing w:after="0" w:line="240" w:lineRule="auto"/>
        <w:ind w:left="709" w:hanging="425"/>
        <w:rPr>
          <w:rFonts w:ascii="Arial" w:hAnsi="Arial" w:cs="Arial"/>
          <w:b/>
        </w:rPr>
      </w:pPr>
    </w:p>
    <w:p w14:paraId="64E38E7F" w14:textId="227007D2" w:rsidR="000E67C1" w:rsidRPr="00B557FF" w:rsidRDefault="002744CA" w:rsidP="002744CA">
      <w:pPr>
        <w:pStyle w:val="Default"/>
        <w:ind w:left="709" w:hanging="425"/>
        <w:rPr>
          <w:sz w:val="22"/>
          <w:szCs w:val="22"/>
        </w:rPr>
      </w:pPr>
      <w:r>
        <w:rPr>
          <w:sz w:val="22"/>
          <w:szCs w:val="22"/>
        </w:rPr>
        <w:t xml:space="preserve">3. </w:t>
      </w:r>
      <w:r>
        <w:rPr>
          <w:sz w:val="22"/>
          <w:szCs w:val="22"/>
        </w:rPr>
        <w:tab/>
      </w:r>
      <w:r w:rsidR="000E67C1" w:rsidRPr="00B557FF">
        <w:rPr>
          <w:sz w:val="22"/>
          <w:szCs w:val="22"/>
        </w:rPr>
        <w:t>The Complaints Procedure may be invoked by any individual who has submitted an application either via UCAS or through the University’s online application system for an integrated foundation year, or an undergraduate, postgraduate taught, or postgraduate research degree.</w:t>
      </w:r>
    </w:p>
    <w:p w14:paraId="08DE980C" w14:textId="77777777" w:rsidR="000E67C1" w:rsidRPr="004D3F0A" w:rsidRDefault="000E67C1" w:rsidP="000E67C1">
      <w:pPr>
        <w:autoSpaceDE w:val="0"/>
        <w:autoSpaceDN w:val="0"/>
        <w:adjustRightInd w:val="0"/>
        <w:spacing w:after="0" w:line="240" w:lineRule="auto"/>
        <w:rPr>
          <w:rFonts w:ascii="Arial" w:hAnsi="Arial" w:cs="Arial"/>
          <w:lang w:eastAsia="zh-CN"/>
        </w:rPr>
      </w:pPr>
    </w:p>
    <w:p w14:paraId="4E535B5E" w14:textId="2A9DE3BF" w:rsidR="000E67C1" w:rsidRPr="00B557FF" w:rsidRDefault="000E67C1" w:rsidP="000E67C1">
      <w:pPr>
        <w:spacing w:after="0" w:line="240" w:lineRule="auto"/>
        <w:rPr>
          <w:rFonts w:ascii="Arial" w:hAnsi="Arial" w:cs="Arial"/>
          <w:b/>
        </w:rPr>
      </w:pPr>
      <w:r w:rsidRPr="00B557FF">
        <w:rPr>
          <w:rFonts w:ascii="Arial" w:hAnsi="Arial" w:cs="Arial"/>
          <w:b/>
        </w:rPr>
        <w:t xml:space="preserve">General principles  </w:t>
      </w:r>
    </w:p>
    <w:p w14:paraId="6EE4FA44" w14:textId="77777777" w:rsidR="000E67C1" w:rsidRPr="00B557FF" w:rsidRDefault="000E67C1" w:rsidP="000E67C1">
      <w:pPr>
        <w:spacing w:after="0" w:line="240" w:lineRule="auto"/>
        <w:rPr>
          <w:rFonts w:ascii="Arial" w:hAnsi="Arial" w:cs="Arial"/>
          <w:b/>
          <w:color w:val="000000" w:themeColor="text1"/>
          <w:sz w:val="20"/>
        </w:rPr>
      </w:pPr>
    </w:p>
    <w:p w14:paraId="6161E9BA" w14:textId="77777777" w:rsidR="000E67C1" w:rsidRPr="00B557FF" w:rsidRDefault="000E67C1" w:rsidP="002744CA">
      <w:pPr>
        <w:pStyle w:val="Default"/>
        <w:numPr>
          <w:ilvl w:val="0"/>
          <w:numId w:val="9"/>
        </w:numPr>
        <w:rPr>
          <w:color w:val="000000" w:themeColor="text1"/>
          <w:sz w:val="22"/>
        </w:rPr>
      </w:pPr>
      <w:r w:rsidRPr="00B557FF">
        <w:rPr>
          <w:color w:val="000000" w:themeColor="text1"/>
          <w:sz w:val="22"/>
        </w:rPr>
        <w:t>An applicant does not have the right to appeal against an academic decision not to offer them a place at the University, as long as the decision can be shown to have been reached fairly and in accordance with the University’s published entry requirement and selection criteria.</w:t>
      </w:r>
    </w:p>
    <w:p w14:paraId="04507B7C" w14:textId="77777777" w:rsidR="000E67C1" w:rsidRPr="00B557FF" w:rsidRDefault="000E67C1" w:rsidP="000E67C1">
      <w:pPr>
        <w:pStyle w:val="Default"/>
        <w:ind w:left="720"/>
        <w:rPr>
          <w:color w:val="000000" w:themeColor="text1"/>
          <w:sz w:val="22"/>
        </w:rPr>
      </w:pPr>
    </w:p>
    <w:p w14:paraId="1E9E01A4" w14:textId="77777777" w:rsidR="000E67C1" w:rsidRPr="00B557FF" w:rsidRDefault="000E67C1" w:rsidP="00FA79AE">
      <w:pPr>
        <w:pStyle w:val="Default"/>
        <w:numPr>
          <w:ilvl w:val="0"/>
          <w:numId w:val="9"/>
        </w:numPr>
        <w:rPr>
          <w:color w:val="000000" w:themeColor="text1"/>
          <w:sz w:val="22"/>
        </w:rPr>
      </w:pPr>
      <w:r w:rsidRPr="00B557FF">
        <w:rPr>
          <w:sz w:val="22"/>
          <w:szCs w:val="22"/>
        </w:rPr>
        <w:t xml:space="preserve">In the vast majority of cases an applicant’s complaint can be handled fairly, amicably and to the satisfaction of all concerned without the necessity of a formal complaint. </w:t>
      </w:r>
    </w:p>
    <w:p w14:paraId="2EB1AFE5" w14:textId="77777777" w:rsidR="000E67C1" w:rsidRPr="00B557FF" w:rsidRDefault="000E67C1" w:rsidP="000E67C1">
      <w:pPr>
        <w:spacing w:after="0" w:line="240" w:lineRule="auto"/>
        <w:rPr>
          <w:rFonts w:ascii="Arial" w:hAnsi="Arial" w:cs="Arial"/>
          <w:color w:val="000000" w:themeColor="text1"/>
        </w:rPr>
      </w:pPr>
    </w:p>
    <w:p w14:paraId="71B5AA52" w14:textId="77777777" w:rsidR="000E67C1" w:rsidRPr="00B557FF" w:rsidRDefault="000E67C1" w:rsidP="00FA79AE">
      <w:pPr>
        <w:pStyle w:val="Default"/>
        <w:numPr>
          <w:ilvl w:val="0"/>
          <w:numId w:val="9"/>
        </w:numPr>
        <w:rPr>
          <w:sz w:val="22"/>
          <w:szCs w:val="22"/>
        </w:rPr>
      </w:pPr>
      <w:r w:rsidRPr="00B557FF">
        <w:rPr>
          <w:sz w:val="22"/>
          <w:szCs w:val="22"/>
        </w:rPr>
        <w:t xml:space="preserve">The University will ensure that all complaints are dealt with promptly and with fairness and with consistency. There will be no discrimination against any applicant who makes a complaint. </w:t>
      </w:r>
    </w:p>
    <w:p w14:paraId="61540C97" w14:textId="77777777" w:rsidR="000E67C1" w:rsidRPr="00B557FF" w:rsidRDefault="000E67C1" w:rsidP="000E67C1">
      <w:pPr>
        <w:spacing w:after="0" w:line="240" w:lineRule="auto"/>
        <w:rPr>
          <w:rFonts w:ascii="Arial" w:hAnsi="Arial" w:cs="Arial"/>
          <w:color w:val="000000" w:themeColor="text1"/>
        </w:rPr>
      </w:pPr>
    </w:p>
    <w:p w14:paraId="7073DFFC" w14:textId="77777777" w:rsidR="000E67C1" w:rsidRPr="00B557FF" w:rsidRDefault="000E67C1" w:rsidP="00FA79AE">
      <w:pPr>
        <w:pStyle w:val="Default"/>
        <w:numPr>
          <w:ilvl w:val="0"/>
          <w:numId w:val="9"/>
        </w:numPr>
        <w:rPr>
          <w:sz w:val="22"/>
          <w:szCs w:val="22"/>
        </w:rPr>
      </w:pPr>
      <w:r w:rsidRPr="00B557FF">
        <w:rPr>
          <w:sz w:val="22"/>
          <w:szCs w:val="22"/>
        </w:rPr>
        <w:t xml:space="preserve">If a complaint is upheld, the University will take the appropriate action and will do so promptly. If the complaint is not upheld, the reason for the decision will be communicated in a timely manner to the applicant. </w:t>
      </w:r>
    </w:p>
    <w:p w14:paraId="2864AC4D" w14:textId="77777777" w:rsidR="000E67C1" w:rsidRPr="00B557FF" w:rsidRDefault="000E67C1" w:rsidP="000E67C1">
      <w:pPr>
        <w:pStyle w:val="Default"/>
        <w:rPr>
          <w:sz w:val="22"/>
          <w:szCs w:val="22"/>
        </w:rPr>
      </w:pPr>
    </w:p>
    <w:p w14:paraId="3932D339" w14:textId="77777777" w:rsidR="000E67C1" w:rsidRPr="00B557FF" w:rsidRDefault="000E67C1" w:rsidP="00FA79AE">
      <w:pPr>
        <w:pStyle w:val="Default"/>
        <w:numPr>
          <w:ilvl w:val="0"/>
          <w:numId w:val="9"/>
        </w:numPr>
        <w:rPr>
          <w:sz w:val="22"/>
          <w:szCs w:val="22"/>
        </w:rPr>
      </w:pPr>
      <w:r w:rsidRPr="00B557FF">
        <w:rPr>
          <w:sz w:val="22"/>
          <w:szCs w:val="22"/>
        </w:rPr>
        <w:t xml:space="preserve">An applicant making a complaint, and those whom the complaint is made about, can expect the complaint to be dealt with confidentially. It may be necessary however, to disclose information to others in order to deal with the complaint and in these circumstances the parties concerned will be informed of such disclosure. </w:t>
      </w:r>
    </w:p>
    <w:p w14:paraId="6DDE15F5" w14:textId="77777777" w:rsidR="000E67C1" w:rsidRPr="00B557FF" w:rsidRDefault="000E67C1" w:rsidP="000E67C1">
      <w:pPr>
        <w:pStyle w:val="Default"/>
        <w:rPr>
          <w:sz w:val="22"/>
          <w:szCs w:val="22"/>
        </w:rPr>
      </w:pPr>
    </w:p>
    <w:p w14:paraId="7BFD598D" w14:textId="77777777" w:rsidR="000E67C1" w:rsidRPr="00B557FF" w:rsidRDefault="000E67C1" w:rsidP="00FA79AE">
      <w:pPr>
        <w:pStyle w:val="Default"/>
        <w:numPr>
          <w:ilvl w:val="0"/>
          <w:numId w:val="9"/>
        </w:numPr>
        <w:rPr>
          <w:sz w:val="22"/>
          <w:szCs w:val="22"/>
        </w:rPr>
      </w:pPr>
      <w:r w:rsidRPr="00B557FF">
        <w:rPr>
          <w:sz w:val="22"/>
          <w:szCs w:val="22"/>
        </w:rPr>
        <w:t xml:space="preserve">A complaint should be made by the applicant. Complaints made on behalf of the applicant by parents, representatives, school or another third party will only be considered in exceptional cases where there are clear reasons for doing so. Complaints that are made anonymously cannot be dealt with under this Complaints Procedure. </w:t>
      </w:r>
    </w:p>
    <w:p w14:paraId="416178AC" w14:textId="77777777" w:rsidR="000E67C1" w:rsidRPr="00B557FF" w:rsidRDefault="000E67C1" w:rsidP="000E67C1">
      <w:pPr>
        <w:pStyle w:val="Default"/>
        <w:rPr>
          <w:sz w:val="22"/>
          <w:szCs w:val="22"/>
        </w:rPr>
      </w:pPr>
    </w:p>
    <w:p w14:paraId="535F4177" w14:textId="77777777" w:rsidR="000E67C1" w:rsidRPr="00B557FF" w:rsidRDefault="000E67C1" w:rsidP="00FA79AE">
      <w:pPr>
        <w:pStyle w:val="ListParagraph"/>
        <w:numPr>
          <w:ilvl w:val="0"/>
          <w:numId w:val="9"/>
        </w:numPr>
        <w:spacing w:after="0" w:line="240" w:lineRule="auto"/>
        <w:rPr>
          <w:rFonts w:ascii="Arial" w:hAnsi="Arial" w:cs="Arial"/>
          <w:color w:val="000000" w:themeColor="text1"/>
        </w:rPr>
      </w:pPr>
      <w:r w:rsidRPr="00B557FF">
        <w:rPr>
          <w:rFonts w:ascii="Arial" w:hAnsi="Arial" w:cs="Arial"/>
        </w:rPr>
        <w:t>This Complaints Procedure covers both the informal and formal stages in handling a complaint.</w:t>
      </w:r>
    </w:p>
    <w:p w14:paraId="085F4A0D" w14:textId="77777777" w:rsidR="000E67C1" w:rsidRPr="00B557FF" w:rsidRDefault="000E67C1" w:rsidP="000E67C1">
      <w:pPr>
        <w:pStyle w:val="ListParagraph"/>
        <w:spacing w:after="0" w:line="240" w:lineRule="auto"/>
        <w:rPr>
          <w:rFonts w:ascii="Arial" w:hAnsi="Arial" w:cs="Arial"/>
          <w:color w:val="000000" w:themeColor="text1"/>
        </w:rPr>
      </w:pPr>
    </w:p>
    <w:p w14:paraId="3DD165F6" w14:textId="7A59C909" w:rsidR="000E67C1" w:rsidRPr="00B557FF" w:rsidRDefault="000E67C1" w:rsidP="000E67C1">
      <w:pPr>
        <w:spacing w:after="0" w:line="240" w:lineRule="auto"/>
        <w:rPr>
          <w:rFonts w:ascii="Arial" w:hAnsi="Arial" w:cs="Arial"/>
          <w:b/>
          <w:color w:val="000000" w:themeColor="text1"/>
        </w:rPr>
      </w:pPr>
      <w:r w:rsidRPr="00B557FF">
        <w:rPr>
          <w:rFonts w:ascii="Arial" w:hAnsi="Arial" w:cs="Arial"/>
          <w:b/>
          <w:color w:val="000000" w:themeColor="text1"/>
        </w:rPr>
        <w:t>Informal complaint</w:t>
      </w:r>
    </w:p>
    <w:p w14:paraId="5605F06E" w14:textId="77777777" w:rsidR="000E67C1" w:rsidRPr="00B557FF" w:rsidRDefault="000E67C1" w:rsidP="002744CA">
      <w:pPr>
        <w:pStyle w:val="Default"/>
        <w:numPr>
          <w:ilvl w:val="0"/>
          <w:numId w:val="9"/>
        </w:numPr>
        <w:rPr>
          <w:sz w:val="22"/>
          <w:szCs w:val="22"/>
        </w:rPr>
      </w:pPr>
      <w:r w:rsidRPr="00B557FF">
        <w:rPr>
          <w:sz w:val="22"/>
          <w:szCs w:val="22"/>
        </w:rPr>
        <w:t xml:space="preserve">Most complaints can be resolved satisfactorily at this stage. </w:t>
      </w:r>
    </w:p>
    <w:p w14:paraId="3CE58B32" w14:textId="77777777" w:rsidR="000E67C1" w:rsidRPr="00B557FF" w:rsidRDefault="000E67C1" w:rsidP="000E67C1">
      <w:pPr>
        <w:pStyle w:val="Default"/>
        <w:rPr>
          <w:sz w:val="22"/>
          <w:szCs w:val="22"/>
        </w:rPr>
      </w:pPr>
    </w:p>
    <w:p w14:paraId="4D19D1D5" w14:textId="77777777" w:rsidR="000E67C1" w:rsidRPr="00B557FF" w:rsidRDefault="000E67C1" w:rsidP="002744CA">
      <w:pPr>
        <w:pStyle w:val="Default"/>
        <w:numPr>
          <w:ilvl w:val="0"/>
          <w:numId w:val="9"/>
        </w:numPr>
        <w:rPr>
          <w:sz w:val="22"/>
          <w:szCs w:val="22"/>
        </w:rPr>
      </w:pPr>
      <w:r w:rsidRPr="00B557FF">
        <w:rPr>
          <w:sz w:val="22"/>
          <w:szCs w:val="22"/>
        </w:rPr>
        <w:t xml:space="preserve">The applicant should first raise their complaint in writing with an Admissions Officer. In most cases this should be the member of staff who processed the application, </w:t>
      </w:r>
      <w:r w:rsidRPr="00B557FF">
        <w:rPr>
          <w:sz w:val="22"/>
          <w:szCs w:val="22"/>
        </w:rPr>
        <w:lastRenderedPageBreak/>
        <w:t>unless the complaint is about that individual. In those cases, the complaint should be addressed to the Admissions Pre-enrolment Manager.</w:t>
      </w:r>
    </w:p>
    <w:p w14:paraId="7293BBF5" w14:textId="77777777" w:rsidR="000E67C1" w:rsidRPr="00B557FF" w:rsidRDefault="000E67C1" w:rsidP="000E67C1">
      <w:pPr>
        <w:pStyle w:val="Default"/>
        <w:rPr>
          <w:sz w:val="22"/>
          <w:szCs w:val="22"/>
        </w:rPr>
      </w:pPr>
    </w:p>
    <w:p w14:paraId="289E8F34" w14:textId="77777777" w:rsidR="000E67C1" w:rsidRPr="00B557FF" w:rsidRDefault="000E67C1" w:rsidP="002744CA">
      <w:pPr>
        <w:pStyle w:val="Default"/>
        <w:numPr>
          <w:ilvl w:val="0"/>
          <w:numId w:val="9"/>
        </w:numPr>
        <w:rPr>
          <w:sz w:val="22"/>
          <w:szCs w:val="22"/>
        </w:rPr>
      </w:pPr>
      <w:r w:rsidRPr="00B557FF">
        <w:rPr>
          <w:sz w:val="22"/>
          <w:szCs w:val="22"/>
        </w:rPr>
        <w:t xml:space="preserve">A complaint must be made within 14 days of the admissions decision or any other action of which the applicant wishes to complain. Complaints made outside of this timeframe will not be considered, unless there are valid reasons why the complaint could not be made within the time scale. The Admissions Officer will respond to the complaint within 10 working days of the complaint being made and shall retain a record of the correspondence and any action taken. If it is not possible to fully respond within the 10 days, the complainant will be advised of the timescale for a full response. </w:t>
      </w:r>
    </w:p>
    <w:p w14:paraId="65E898A0" w14:textId="77777777" w:rsidR="000E67C1" w:rsidRPr="00B557FF" w:rsidRDefault="000E67C1" w:rsidP="000E67C1">
      <w:pPr>
        <w:pStyle w:val="Default"/>
        <w:rPr>
          <w:sz w:val="22"/>
          <w:szCs w:val="22"/>
        </w:rPr>
      </w:pPr>
    </w:p>
    <w:p w14:paraId="2734310E" w14:textId="75A7FF70" w:rsidR="000E67C1" w:rsidRPr="00B557FF" w:rsidRDefault="000E67C1" w:rsidP="002744CA">
      <w:pPr>
        <w:pStyle w:val="Default"/>
        <w:numPr>
          <w:ilvl w:val="0"/>
          <w:numId w:val="9"/>
        </w:numPr>
        <w:rPr>
          <w:sz w:val="22"/>
          <w:szCs w:val="22"/>
        </w:rPr>
      </w:pPr>
      <w:r w:rsidRPr="00B557FF">
        <w:rPr>
          <w:sz w:val="22"/>
          <w:szCs w:val="22"/>
        </w:rPr>
        <w:t xml:space="preserve">Where the complaint concerns non-selection and the Admissions Officer is satisfied that the application was considered fairly and that the decision complies with the selection procedure, they will respond explaining the context of the decision and any selection processes that were applied. The Admissions Officer will also at this stage draw to the attention of the complainant the Complaints Procedures, should they wish to pursue the matter further. </w:t>
      </w:r>
    </w:p>
    <w:p w14:paraId="184AB464" w14:textId="77777777" w:rsidR="000E67C1" w:rsidRPr="00B557FF" w:rsidRDefault="000E67C1" w:rsidP="000E67C1">
      <w:pPr>
        <w:pStyle w:val="Default"/>
        <w:rPr>
          <w:sz w:val="22"/>
          <w:szCs w:val="22"/>
        </w:rPr>
      </w:pPr>
    </w:p>
    <w:p w14:paraId="04F70CB1" w14:textId="77777777" w:rsidR="000E67C1" w:rsidRPr="00B557FF" w:rsidRDefault="000E67C1" w:rsidP="002744CA">
      <w:pPr>
        <w:pStyle w:val="Default"/>
        <w:numPr>
          <w:ilvl w:val="0"/>
          <w:numId w:val="9"/>
        </w:numPr>
        <w:rPr>
          <w:sz w:val="22"/>
          <w:szCs w:val="22"/>
        </w:rPr>
      </w:pPr>
      <w:r w:rsidRPr="00B557FF">
        <w:rPr>
          <w:sz w:val="22"/>
          <w:szCs w:val="22"/>
        </w:rPr>
        <w:t xml:space="preserve">In relation to complaints about all other matters relating to the admissions process, the Admissions Officer will provide written reasons for their decision. </w:t>
      </w:r>
    </w:p>
    <w:p w14:paraId="14AE83CC" w14:textId="77777777" w:rsidR="000E67C1" w:rsidRPr="00B557FF" w:rsidRDefault="000E67C1" w:rsidP="000E67C1">
      <w:pPr>
        <w:pStyle w:val="Default"/>
        <w:rPr>
          <w:sz w:val="22"/>
          <w:szCs w:val="22"/>
        </w:rPr>
      </w:pPr>
    </w:p>
    <w:p w14:paraId="0602E402" w14:textId="48FF74A8" w:rsidR="000E67C1" w:rsidRPr="00B557FF" w:rsidRDefault="000E67C1" w:rsidP="002744CA">
      <w:pPr>
        <w:pStyle w:val="Default"/>
        <w:numPr>
          <w:ilvl w:val="0"/>
          <w:numId w:val="9"/>
        </w:numPr>
        <w:rPr>
          <w:sz w:val="22"/>
          <w:szCs w:val="22"/>
        </w:rPr>
      </w:pPr>
      <w:r w:rsidRPr="00B557FF">
        <w:rPr>
          <w:sz w:val="22"/>
          <w:szCs w:val="22"/>
        </w:rPr>
        <w:t xml:space="preserve">If the Admissions Officer concludes that the decision was unfair and/or not in accordance with the Admissions Procedure; they will refer the complaint to the Head of Admissions. </w:t>
      </w:r>
    </w:p>
    <w:p w14:paraId="37F1CB5D" w14:textId="77777777" w:rsidR="000E67C1" w:rsidRPr="00B557FF" w:rsidRDefault="000E67C1" w:rsidP="000E67C1">
      <w:pPr>
        <w:spacing w:after="0" w:line="240" w:lineRule="auto"/>
        <w:rPr>
          <w:rFonts w:ascii="Arial" w:hAnsi="Arial" w:cs="Arial"/>
          <w:b/>
          <w:color w:val="000000" w:themeColor="text1"/>
        </w:rPr>
      </w:pPr>
    </w:p>
    <w:p w14:paraId="2D5E08B1" w14:textId="039357A3" w:rsidR="000E67C1" w:rsidRPr="00B557FF" w:rsidRDefault="000E67C1" w:rsidP="000E67C1">
      <w:pPr>
        <w:pStyle w:val="Default"/>
        <w:rPr>
          <w:b/>
          <w:sz w:val="22"/>
        </w:rPr>
      </w:pPr>
      <w:r w:rsidRPr="00B557FF">
        <w:rPr>
          <w:b/>
          <w:sz w:val="22"/>
        </w:rPr>
        <w:t>Formal complaint</w:t>
      </w:r>
    </w:p>
    <w:p w14:paraId="0B80339D" w14:textId="77777777" w:rsidR="000E67C1" w:rsidRPr="00B557FF" w:rsidRDefault="000E67C1" w:rsidP="000E67C1">
      <w:pPr>
        <w:pStyle w:val="Default"/>
        <w:rPr>
          <w:sz w:val="22"/>
          <w:szCs w:val="22"/>
        </w:rPr>
      </w:pPr>
    </w:p>
    <w:p w14:paraId="5048C22F" w14:textId="77777777" w:rsidR="000E67C1" w:rsidRPr="00B557FF" w:rsidRDefault="000E67C1" w:rsidP="002744CA">
      <w:pPr>
        <w:pStyle w:val="Default"/>
        <w:numPr>
          <w:ilvl w:val="0"/>
          <w:numId w:val="9"/>
        </w:numPr>
        <w:rPr>
          <w:sz w:val="22"/>
          <w:szCs w:val="22"/>
        </w:rPr>
      </w:pPr>
      <w:r w:rsidRPr="00B557FF">
        <w:rPr>
          <w:sz w:val="22"/>
          <w:szCs w:val="22"/>
        </w:rPr>
        <w:t xml:space="preserve">If the applicant is dissatisfied with the response received from the Admissions Officer or Admissions Pre-enrolment Manager, they should submit, within 10 working days of receiving the response from the Admissions Officer or Admissions Pre-enrolment Manager, a written complaint to the Head of Admissions. Any complaints received out of the timeframe will not be considered. </w:t>
      </w:r>
    </w:p>
    <w:p w14:paraId="124E6F1A" w14:textId="77777777" w:rsidR="000E67C1" w:rsidRPr="00B557FF" w:rsidRDefault="000E67C1" w:rsidP="000E67C1">
      <w:pPr>
        <w:pStyle w:val="Default"/>
        <w:ind w:left="720"/>
        <w:rPr>
          <w:sz w:val="22"/>
          <w:szCs w:val="22"/>
        </w:rPr>
      </w:pPr>
    </w:p>
    <w:p w14:paraId="6608ECBE" w14:textId="77777777" w:rsidR="000E67C1" w:rsidRPr="00B557FF" w:rsidRDefault="000E67C1" w:rsidP="002744CA">
      <w:pPr>
        <w:pStyle w:val="Default"/>
        <w:numPr>
          <w:ilvl w:val="0"/>
          <w:numId w:val="9"/>
        </w:numPr>
        <w:rPr>
          <w:sz w:val="22"/>
          <w:szCs w:val="22"/>
        </w:rPr>
      </w:pPr>
      <w:r w:rsidRPr="00B557FF">
        <w:rPr>
          <w:sz w:val="22"/>
          <w:szCs w:val="22"/>
        </w:rPr>
        <w:t>The complaint should be set out to include the informal steps that have already been taken and details of any response received, a statement as to why the applicant remains dissatisfied and the outcome the applicant is seeking.</w:t>
      </w:r>
    </w:p>
    <w:p w14:paraId="7F6F2CFB" w14:textId="77777777" w:rsidR="000E67C1" w:rsidRPr="00B557FF" w:rsidRDefault="000E67C1" w:rsidP="000E67C1">
      <w:pPr>
        <w:pStyle w:val="Default"/>
        <w:rPr>
          <w:sz w:val="22"/>
          <w:szCs w:val="22"/>
        </w:rPr>
      </w:pPr>
    </w:p>
    <w:p w14:paraId="671D91F7" w14:textId="77777777" w:rsidR="000E67C1" w:rsidRPr="00B557FF" w:rsidRDefault="000E67C1" w:rsidP="002744CA">
      <w:pPr>
        <w:pStyle w:val="Default"/>
        <w:numPr>
          <w:ilvl w:val="0"/>
          <w:numId w:val="9"/>
        </w:numPr>
        <w:rPr>
          <w:sz w:val="22"/>
          <w:szCs w:val="22"/>
        </w:rPr>
      </w:pPr>
      <w:r w:rsidRPr="00B557FF">
        <w:rPr>
          <w:sz w:val="22"/>
          <w:szCs w:val="22"/>
        </w:rPr>
        <w:t xml:space="preserve">The Head of Admissions will acknowledge in writing a receipt of the complaint within 5 working days. The Head of Admissions will then investigate the complaint and submit a written response to the complainant within 14 working days from acknowledgment of receipt of the complaint. </w:t>
      </w:r>
    </w:p>
    <w:p w14:paraId="7475A970" w14:textId="77777777" w:rsidR="000E67C1" w:rsidRPr="00B557FF" w:rsidRDefault="000E67C1" w:rsidP="000E67C1">
      <w:pPr>
        <w:pStyle w:val="Default"/>
        <w:rPr>
          <w:sz w:val="22"/>
          <w:szCs w:val="22"/>
        </w:rPr>
      </w:pPr>
    </w:p>
    <w:p w14:paraId="60F21F6D" w14:textId="77777777" w:rsidR="000E67C1" w:rsidRPr="00B557FF" w:rsidRDefault="000E67C1" w:rsidP="002744CA">
      <w:pPr>
        <w:pStyle w:val="Default"/>
        <w:numPr>
          <w:ilvl w:val="0"/>
          <w:numId w:val="9"/>
        </w:numPr>
        <w:rPr>
          <w:sz w:val="22"/>
          <w:szCs w:val="22"/>
        </w:rPr>
      </w:pPr>
      <w:r w:rsidRPr="00B557FF">
        <w:rPr>
          <w:sz w:val="22"/>
          <w:szCs w:val="22"/>
        </w:rPr>
        <w:t xml:space="preserve">The Head of Admissions’ decision following completion of this process will be considered as final. </w:t>
      </w:r>
    </w:p>
    <w:p w14:paraId="43AC8E9C" w14:textId="77777777" w:rsidR="000E67C1" w:rsidRPr="00B557FF" w:rsidRDefault="000E67C1" w:rsidP="000E67C1">
      <w:pPr>
        <w:pStyle w:val="Default"/>
        <w:rPr>
          <w:sz w:val="22"/>
          <w:szCs w:val="22"/>
        </w:rPr>
      </w:pPr>
    </w:p>
    <w:p w14:paraId="4DE7D3BB" w14:textId="77777777" w:rsidR="000E67C1" w:rsidRPr="00B557FF" w:rsidRDefault="000E67C1" w:rsidP="002744CA">
      <w:pPr>
        <w:pStyle w:val="Default"/>
        <w:numPr>
          <w:ilvl w:val="0"/>
          <w:numId w:val="9"/>
        </w:numPr>
        <w:rPr>
          <w:sz w:val="22"/>
          <w:szCs w:val="22"/>
        </w:rPr>
      </w:pPr>
      <w:r w:rsidRPr="00B557FF">
        <w:rPr>
          <w:sz w:val="22"/>
          <w:szCs w:val="22"/>
        </w:rPr>
        <w:t>During the main results period or where the Head of Admissions is not available through absence a member of the Senior Management Team for Marketing, Recruitment &amp; Admissions will handle the complaint. Their decision following completion of this process will be considered as final.</w:t>
      </w:r>
    </w:p>
    <w:p w14:paraId="51B29DB3" w14:textId="77777777" w:rsidR="000E67C1" w:rsidRPr="00B557FF" w:rsidRDefault="000E67C1" w:rsidP="000E67C1">
      <w:pPr>
        <w:pStyle w:val="Default"/>
        <w:rPr>
          <w:sz w:val="22"/>
          <w:szCs w:val="22"/>
        </w:rPr>
      </w:pPr>
    </w:p>
    <w:p w14:paraId="4C58C407" w14:textId="77777777" w:rsidR="000E67C1" w:rsidRPr="00B557FF" w:rsidRDefault="000E67C1" w:rsidP="002744CA">
      <w:pPr>
        <w:pStyle w:val="Default"/>
        <w:numPr>
          <w:ilvl w:val="0"/>
          <w:numId w:val="9"/>
        </w:numPr>
        <w:rPr>
          <w:sz w:val="22"/>
          <w:szCs w:val="22"/>
        </w:rPr>
      </w:pPr>
      <w:r w:rsidRPr="00B557FF">
        <w:rPr>
          <w:sz w:val="22"/>
          <w:szCs w:val="22"/>
        </w:rPr>
        <w:t xml:space="preserve">If the Head of Admissions has had previous involvement in the applicant’s admissions process or complaints procedure for an individual, he/she will refer the complaint to the Director of Marketing, Recruitment &amp; Admissions. The Director of Marketing, Recruitment &amp; Admissions’ decision will then be considered as final. </w:t>
      </w:r>
    </w:p>
    <w:p w14:paraId="04651EE2" w14:textId="77777777" w:rsidR="000E67C1" w:rsidRPr="00B557FF" w:rsidRDefault="000E67C1" w:rsidP="000E67C1">
      <w:pPr>
        <w:spacing w:after="0" w:line="240" w:lineRule="auto"/>
        <w:rPr>
          <w:rFonts w:ascii="Arial" w:hAnsi="Arial" w:cs="Arial"/>
          <w:b/>
        </w:rPr>
      </w:pPr>
    </w:p>
    <w:p w14:paraId="22710371" w14:textId="77777777" w:rsidR="002744CA" w:rsidRPr="001E1CE5" w:rsidRDefault="002744CA" w:rsidP="002744CA">
      <w:pPr>
        <w:pStyle w:val="Heading1"/>
        <w:rPr>
          <w:rFonts w:cs="Arial"/>
        </w:rPr>
      </w:pPr>
      <w:bookmarkStart w:id="33" w:name="_Toc115084545"/>
      <w:r w:rsidRPr="00B557FF">
        <w:t xml:space="preserve">Appendix </w:t>
      </w:r>
      <w:r>
        <w:t>C</w:t>
      </w:r>
      <w:r w:rsidRPr="001E1CE5">
        <w:rPr>
          <w:rFonts w:cs="Arial"/>
        </w:rPr>
        <w:t xml:space="preserve"> – Related documents</w:t>
      </w:r>
      <w:bookmarkEnd w:id="33"/>
      <w:r w:rsidRPr="001E1CE5">
        <w:rPr>
          <w:rFonts w:cs="Arial"/>
        </w:rPr>
        <w:t xml:space="preserve"> </w:t>
      </w:r>
    </w:p>
    <w:p w14:paraId="649DB840" w14:textId="77777777" w:rsidR="002744CA" w:rsidRPr="00B557FF" w:rsidRDefault="002744CA" w:rsidP="002744CA">
      <w:pPr>
        <w:pStyle w:val="Heading1"/>
      </w:pPr>
    </w:p>
    <w:p w14:paraId="11B263EB" w14:textId="77777777" w:rsidR="002744CA" w:rsidRPr="00B557FF" w:rsidRDefault="00CC1371" w:rsidP="002744CA">
      <w:pPr>
        <w:rPr>
          <w:rFonts w:ascii="Arial" w:hAnsi="Arial" w:cs="Arial"/>
        </w:rPr>
      </w:pPr>
      <w:hyperlink r:id="rId47" w:history="1">
        <w:r w:rsidR="002744CA" w:rsidRPr="00B557FF">
          <w:rPr>
            <w:rStyle w:val="Hyperlink"/>
            <w:rFonts w:ascii="Arial" w:hAnsi="Arial" w:cs="Arial"/>
          </w:rPr>
          <w:t>Code or practice for the recognition of prior learning and prior credit; taught programmes</w:t>
        </w:r>
      </w:hyperlink>
    </w:p>
    <w:p w14:paraId="0C66FFCB" w14:textId="77777777" w:rsidR="002744CA" w:rsidRPr="00B557FF" w:rsidRDefault="002744CA" w:rsidP="002744CA">
      <w:pPr>
        <w:rPr>
          <w:rStyle w:val="Hyperlink"/>
          <w:rFonts w:ascii="Arial" w:hAnsi="Arial" w:cs="Arial"/>
        </w:rPr>
      </w:pPr>
      <w:r w:rsidRPr="00B557FF">
        <w:rPr>
          <w:rFonts w:ascii="Arial" w:hAnsi="Arial" w:cs="Arial"/>
        </w:rPr>
        <w:fldChar w:fldCharType="begin"/>
      </w:r>
      <w:r w:rsidRPr="00B557FF">
        <w:rPr>
          <w:rFonts w:ascii="Arial" w:hAnsi="Arial" w:cs="Arial"/>
        </w:rPr>
        <w:instrText xml:space="preserve"> HYPERLINK "https://www.surrey.ac.uk/sites/default/files/2022-03/student-route-cas-issuing-policy.pdf" </w:instrText>
      </w:r>
      <w:r w:rsidRPr="00B557FF">
        <w:rPr>
          <w:rFonts w:ascii="Arial" w:hAnsi="Arial" w:cs="Arial"/>
        </w:rPr>
        <w:fldChar w:fldCharType="separate"/>
      </w:r>
      <w:r w:rsidRPr="00B557FF">
        <w:rPr>
          <w:rStyle w:val="Hyperlink"/>
          <w:rFonts w:ascii="Arial" w:hAnsi="Arial" w:cs="Arial"/>
        </w:rPr>
        <w:t>Student Route and CAS Issuing Policy</w:t>
      </w:r>
    </w:p>
    <w:p w14:paraId="69976993" w14:textId="2E926A76" w:rsidR="002744CA" w:rsidRDefault="002744CA" w:rsidP="002744CA">
      <w:pPr>
        <w:pStyle w:val="NoSpacing"/>
        <w:rPr>
          <w:rStyle w:val="Hyperlink"/>
          <w:rFonts w:eastAsiaTheme="minorHAnsi" w:cs="Arial"/>
        </w:rPr>
      </w:pPr>
      <w:r w:rsidRPr="00B557FF">
        <w:fldChar w:fldCharType="end"/>
      </w:r>
      <w:hyperlink r:id="rId48" w:history="1">
        <w:r w:rsidRPr="002744CA">
          <w:rPr>
            <w:rStyle w:val="Hyperlink"/>
            <w:rFonts w:eastAsiaTheme="minorHAnsi" w:cs="Arial"/>
          </w:rPr>
          <w:t>Criminal Conviction guidance</w:t>
        </w:r>
      </w:hyperlink>
    </w:p>
    <w:p w14:paraId="420B0589" w14:textId="77777777" w:rsidR="002744CA" w:rsidRPr="002744CA" w:rsidRDefault="002744CA" w:rsidP="002744CA">
      <w:pPr>
        <w:pStyle w:val="NoSpacing"/>
        <w:rPr>
          <w:rStyle w:val="Hyperlink"/>
          <w:rFonts w:eastAsiaTheme="minorHAnsi" w:cs="Arial"/>
        </w:rPr>
      </w:pPr>
    </w:p>
    <w:p w14:paraId="2D9692CA" w14:textId="77777777" w:rsidR="002744CA" w:rsidRPr="002744CA" w:rsidRDefault="00CC1371" w:rsidP="002744CA">
      <w:pPr>
        <w:rPr>
          <w:rStyle w:val="Hyperlink"/>
        </w:rPr>
      </w:pPr>
      <w:hyperlink r:id="rId49" w:history="1">
        <w:r w:rsidR="002744CA" w:rsidRPr="002744CA">
          <w:rPr>
            <w:rStyle w:val="Hyperlink"/>
            <w:rFonts w:ascii="Arial" w:hAnsi="Arial" w:cs="Arial"/>
          </w:rPr>
          <w:t>Terms and Conditions of Offer</w:t>
        </w:r>
      </w:hyperlink>
    </w:p>
    <w:p w14:paraId="148FFC8B" w14:textId="6E411EC6" w:rsidR="00EB0F3A" w:rsidRPr="00B557FF" w:rsidRDefault="00CC1371" w:rsidP="00EB0F3A">
      <w:pPr>
        <w:rPr>
          <w:rFonts w:ascii="Arial" w:hAnsi="Arial" w:cs="Arial"/>
        </w:rPr>
      </w:pPr>
      <w:hyperlink r:id="rId50" w:history="1">
        <w:r w:rsidR="00EB0F3A" w:rsidRPr="00454682">
          <w:rPr>
            <w:rStyle w:val="Hyperlink"/>
            <w:rFonts w:ascii="Arial" w:hAnsi="Arial" w:cs="Arial"/>
          </w:rPr>
          <w:t>Data Protection Policy</w:t>
        </w:r>
      </w:hyperlink>
      <w:r w:rsidR="002744CA">
        <w:rPr>
          <w:rFonts w:ascii="Arial" w:hAnsi="Arial" w:cs="Arial"/>
        </w:rPr>
        <w:t xml:space="preserve"> </w:t>
      </w:r>
    </w:p>
    <w:p w14:paraId="44FAAE18" w14:textId="5FF59EE4" w:rsidR="00686C17" w:rsidRPr="00B557FF" w:rsidRDefault="00686C17" w:rsidP="00686C17">
      <w:pPr>
        <w:rPr>
          <w:rFonts w:ascii="Arial" w:hAnsi="Arial" w:cs="Arial"/>
        </w:rPr>
      </w:pPr>
    </w:p>
    <w:p w14:paraId="6CDD784D" w14:textId="075D1C42" w:rsidR="00686C17" w:rsidRPr="00B557FF" w:rsidRDefault="00686C17" w:rsidP="00686C17">
      <w:pPr>
        <w:rPr>
          <w:rFonts w:ascii="Arial" w:hAnsi="Arial" w:cs="Arial"/>
        </w:rPr>
      </w:pPr>
    </w:p>
    <w:p w14:paraId="1A11D43D" w14:textId="3907EDD8" w:rsidR="00686C17" w:rsidRPr="00B557FF" w:rsidRDefault="00686C17" w:rsidP="00686C17">
      <w:pPr>
        <w:rPr>
          <w:rFonts w:ascii="Arial" w:hAnsi="Arial" w:cs="Arial"/>
        </w:rPr>
      </w:pPr>
    </w:p>
    <w:sectPr w:rsidR="00686C17" w:rsidRPr="00B557FF" w:rsidSect="00C5201B">
      <w:footerReference w:type="default" r:id="rId51"/>
      <w:pgSz w:w="11906" w:h="16838"/>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AF68" w14:textId="77777777" w:rsidR="002E03D0" w:rsidRDefault="002E03D0" w:rsidP="00693BC8">
      <w:pPr>
        <w:spacing w:after="0" w:line="240" w:lineRule="auto"/>
      </w:pPr>
      <w:r>
        <w:separator/>
      </w:r>
    </w:p>
  </w:endnote>
  <w:endnote w:type="continuationSeparator" w:id="0">
    <w:p w14:paraId="6E44B98E" w14:textId="77777777" w:rsidR="002E03D0" w:rsidRDefault="002E03D0" w:rsidP="00693BC8">
      <w:pPr>
        <w:spacing w:after="0" w:line="240" w:lineRule="auto"/>
      </w:pPr>
      <w:r>
        <w:continuationSeparator/>
      </w:r>
    </w:p>
  </w:endnote>
  <w:endnote w:type="continuationNotice" w:id="1">
    <w:p w14:paraId="7D11D142" w14:textId="77777777" w:rsidR="00897C6D" w:rsidRDefault="00897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1E44" w14:textId="77777777" w:rsidR="00FC3A0A" w:rsidRDefault="00FC3A0A">
    <w:pPr>
      <w:pStyle w:val="Footer"/>
      <w:jc w:val="right"/>
    </w:pPr>
  </w:p>
  <w:p w14:paraId="278AD7E5" w14:textId="77777777" w:rsidR="00FC3A0A" w:rsidRDefault="00FC3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EC04" w14:textId="77777777" w:rsidR="00FC3A0A" w:rsidRDefault="00FC3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328695"/>
      <w:docPartObj>
        <w:docPartGallery w:val="Page Numbers (Bottom of Page)"/>
        <w:docPartUnique/>
      </w:docPartObj>
    </w:sdtPr>
    <w:sdtEndPr>
      <w:rPr>
        <w:rFonts w:ascii="Arial" w:hAnsi="Arial" w:cs="Arial"/>
        <w:noProof/>
      </w:rPr>
    </w:sdtEndPr>
    <w:sdtContent>
      <w:p w14:paraId="091C3FFB" w14:textId="77777777" w:rsidR="00FC3A0A" w:rsidRPr="00C5201B" w:rsidRDefault="00FC3A0A">
        <w:pPr>
          <w:pStyle w:val="Footer"/>
          <w:jc w:val="center"/>
          <w:rPr>
            <w:rFonts w:ascii="Arial" w:hAnsi="Arial" w:cs="Arial"/>
          </w:rPr>
        </w:pPr>
        <w:r w:rsidRPr="00C5201B">
          <w:rPr>
            <w:rFonts w:ascii="Arial" w:hAnsi="Arial" w:cs="Arial"/>
          </w:rPr>
          <w:fldChar w:fldCharType="begin"/>
        </w:r>
        <w:r w:rsidRPr="00C5201B">
          <w:rPr>
            <w:rFonts w:ascii="Arial" w:hAnsi="Arial" w:cs="Arial"/>
          </w:rPr>
          <w:instrText xml:space="preserve"> PAGE   \* MERGEFORMAT </w:instrText>
        </w:r>
        <w:r w:rsidRPr="00C5201B">
          <w:rPr>
            <w:rFonts w:ascii="Arial" w:hAnsi="Arial" w:cs="Arial"/>
          </w:rPr>
          <w:fldChar w:fldCharType="separate"/>
        </w:r>
        <w:r>
          <w:rPr>
            <w:rFonts w:ascii="Arial" w:hAnsi="Arial" w:cs="Arial"/>
            <w:noProof/>
          </w:rPr>
          <w:t>3</w:t>
        </w:r>
        <w:r w:rsidRPr="00C5201B">
          <w:rPr>
            <w:rFonts w:ascii="Arial" w:hAnsi="Arial" w:cs="Arial"/>
            <w:noProof/>
          </w:rPr>
          <w:fldChar w:fldCharType="end"/>
        </w:r>
      </w:p>
    </w:sdtContent>
  </w:sdt>
  <w:p w14:paraId="1BCF421F" w14:textId="77777777" w:rsidR="00FC3A0A" w:rsidRDefault="00FC3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9DFC" w14:textId="77777777" w:rsidR="002E03D0" w:rsidRDefault="002E03D0" w:rsidP="00693BC8">
      <w:pPr>
        <w:spacing w:after="0" w:line="240" w:lineRule="auto"/>
      </w:pPr>
      <w:r>
        <w:separator/>
      </w:r>
    </w:p>
  </w:footnote>
  <w:footnote w:type="continuationSeparator" w:id="0">
    <w:p w14:paraId="31F4B993" w14:textId="77777777" w:rsidR="002E03D0" w:rsidRDefault="002E03D0" w:rsidP="00693BC8">
      <w:pPr>
        <w:spacing w:after="0" w:line="240" w:lineRule="auto"/>
      </w:pPr>
      <w:r>
        <w:continuationSeparator/>
      </w:r>
    </w:p>
  </w:footnote>
  <w:footnote w:type="continuationNotice" w:id="1">
    <w:p w14:paraId="4AE3658B" w14:textId="77777777" w:rsidR="00897C6D" w:rsidRDefault="00897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C1E6" w14:textId="77777777" w:rsidR="00FC3A0A" w:rsidRPr="00C5201B" w:rsidRDefault="00FC3A0A" w:rsidP="00C5201B">
    <w:pPr>
      <w:pStyle w:val="Header"/>
      <w:jc w:val="right"/>
      <w:rPr>
        <w:rFonts w:ascii="Arial" w:hAnsi="Arial" w:cs="Arial"/>
        <w:lang w:val="de-DE"/>
      </w:rPr>
    </w:pPr>
    <w:r w:rsidRPr="00C5201B">
      <w:rPr>
        <w:rFonts w:ascii="Arial" w:hAnsi="Arial" w:cs="Arial"/>
        <w:lang w:val="de-DE"/>
      </w:rPr>
      <w:t>Speakers and Visiting Academics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2F21" w14:textId="23330CDD" w:rsidR="00FC3A0A" w:rsidRPr="00F573F2" w:rsidRDefault="00FC3A0A" w:rsidP="00C5201B">
    <w:pPr>
      <w:pStyle w:val="Header"/>
      <w:jc w:val="right"/>
      <w:rPr>
        <w:rFonts w:ascii="Arial" w:hAnsi="Arial" w:cs="Arial"/>
      </w:rPr>
    </w:pPr>
    <w:r w:rsidRPr="00F573F2">
      <w:rPr>
        <w:rFonts w:ascii="Arial" w:hAnsi="Arial" w:cs="Arial"/>
      </w:rPr>
      <w:t xml:space="preserve">Code of practice for </w:t>
    </w:r>
    <w:r w:rsidR="00F573F2">
      <w:rPr>
        <w:rFonts w:ascii="Arial" w:hAnsi="Arial" w:cs="Arial"/>
      </w:rPr>
      <w:t>Undergraduate Admissions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57A"/>
    <w:multiLevelType w:val="hybridMultilevel"/>
    <w:tmpl w:val="3508D302"/>
    <w:lvl w:ilvl="0" w:tplc="3A7C14D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F5497"/>
    <w:multiLevelType w:val="hybridMultilevel"/>
    <w:tmpl w:val="F2B2297A"/>
    <w:lvl w:ilvl="0" w:tplc="83FCC6D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C31AC"/>
    <w:multiLevelType w:val="hybridMultilevel"/>
    <w:tmpl w:val="B0706440"/>
    <w:lvl w:ilvl="0" w:tplc="3A7C14D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B6193"/>
    <w:multiLevelType w:val="hybridMultilevel"/>
    <w:tmpl w:val="3DC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35DF9"/>
    <w:multiLevelType w:val="hybridMultilevel"/>
    <w:tmpl w:val="44EC9370"/>
    <w:lvl w:ilvl="0" w:tplc="6114CE7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F0434"/>
    <w:multiLevelType w:val="hybridMultilevel"/>
    <w:tmpl w:val="C9600E36"/>
    <w:lvl w:ilvl="0" w:tplc="83FCC6D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82F2F"/>
    <w:multiLevelType w:val="hybridMultilevel"/>
    <w:tmpl w:val="9B94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5F6A33"/>
    <w:multiLevelType w:val="hybridMultilevel"/>
    <w:tmpl w:val="E822E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D3F89"/>
    <w:multiLevelType w:val="hybridMultilevel"/>
    <w:tmpl w:val="586A2C6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CC63E2D"/>
    <w:multiLevelType w:val="hybridMultilevel"/>
    <w:tmpl w:val="F9A6E060"/>
    <w:lvl w:ilvl="0" w:tplc="3A7C14D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F469B"/>
    <w:multiLevelType w:val="hybridMultilevel"/>
    <w:tmpl w:val="AD7E6FC4"/>
    <w:lvl w:ilvl="0" w:tplc="3A7C14D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6946EB"/>
    <w:multiLevelType w:val="hybridMultilevel"/>
    <w:tmpl w:val="C788587C"/>
    <w:lvl w:ilvl="0" w:tplc="3A7C14D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E0915"/>
    <w:multiLevelType w:val="hybridMultilevel"/>
    <w:tmpl w:val="72140B2E"/>
    <w:lvl w:ilvl="0" w:tplc="4C0CED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9E7206"/>
    <w:multiLevelType w:val="hybridMultilevel"/>
    <w:tmpl w:val="69229B50"/>
    <w:lvl w:ilvl="0" w:tplc="86D87D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571F90"/>
    <w:multiLevelType w:val="hybridMultilevel"/>
    <w:tmpl w:val="416C48FE"/>
    <w:lvl w:ilvl="0" w:tplc="83FCC6D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8463BA"/>
    <w:multiLevelType w:val="hybridMultilevel"/>
    <w:tmpl w:val="3FC0276E"/>
    <w:lvl w:ilvl="0" w:tplc="3A7C14D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33A70"/>
    <w:multiLevelType w:val="hybridMultilevel"/>
    <w:tmpl w:val="E076BDAC"/>
    <w:lvl w:ilvl="0" w:tplc="08090001">
      <w:start w:val="1"/>
      <w:numFmt w:val="bullet"/>
      <w:lvlText w:val=""/>
      <w:lvlJc w:val="left"/>
      <w:pPr>
        <w:ind w:left="720" w:hanging="360"/>
      </w:pPr>
      <w:rPr>
        <w:rFonts w:ascii="Symbol" w:hAnsi="Symbol" w:hint="default"/>
      </w:rPr>
    </w:lvl>
    <w:lvl w:ilvl="1" w:tplc="8CB20BB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04C22"/>
    <w:multiLevelType w:val="hybridMultilevel"/>
    <w:tmpl w:val="6FA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3694A"/>
    <w:multiLevelType w:val="hybridMultilevel"/>
    <w:tmpl w:val="A302062A"/>
    <w:lvl w:ilvl="0" w:tplc="BDD081B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3B5A2E"/>
    <w:multiLevelType w:val="hybridMultilevel"/>
    <w:tmpl w:val="C84C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F19E6"/>
    <w:multiLevelType w:val="hybridMultilevel"/>
    <w:tmpl w:val="9E1C0D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76FC6F8C"/>
    <w:multiLevelType w:val="hybridMultilevel"/>
    <w:tmpl w:val="5268FAA6"/>
    <w:lvl w:ilvl="0" w:tplc="3A7C14D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757AD"/>
    <w:multiLevelType w:val="hybridMultilevel"/>
    <w:tmpl w:val="B50E73D4"/>
    <w:lvl w:ilvl="0" w:tplc="83FCC6D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880D7A"/>
    <w:multiLevelType w:val="hybridMultilevel"/>
    <w:tmpl w:val="5BFAFC34"/>
    <w:lvl w:ilvl="0" w:tplc="83FCC6D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D3418"/>
    <w:multiLevelType w:val="hybridMultilevel"/>
    <w:tmpl w:val="7578EF62"/>
    <w:lvl w:ilvl="0" w:tplc="3A7C14D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BF49FE"/>
    <w:multiLevelType w:val="hybridMultilevel"/>
    <w:tmpl w:val="C04A6446"/>
    <w:lvl w:ilvl="0" w:tplc="83FCC6D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269772">
    <w:abstractNumId w:val="12"/>
  </w:num>
  <w:num w:numId="2" w16cid:durableId="249195003">
    <w:abstractNumId w:val="19"/>
  </w:num>
  <w:num w:numId="3" w16cid:durableId="840462908">
    <w:abstractNumId w:val="20"/>
  </w:num>
  <w:num w:numId="4" w16cid:durableId="905604039">
    <w:abstractNumId w:val="8"/>
  </w:num>
  <w:num w:numId="5" w16cid:durableId="476531442">
    <w:abstractNumId w:val="10"/>
  </w:num>
  <w:num w:numId="6" w16cid:durableId="1424646317">
    <w:abstractNumId w:val="17"/>
  </w:num>
  <w:num w:numId="7" w16cid:durableId="77754578">
    <w:abstractNumId w:val="3"/>
  </w:num>
  <w:num w:numId="8" w16cid:durableId="527762545">
    <w:abstractNumId w:val="7"/>
  </w:num>
  <w:num w:numId="9" w16cid:durableId="1821724664">
    <w:abstractNumId w:val="4"/>
  </w:num>
  <w:num w:numId="10" w16cid:durableId="1268730401">
    <w:abstractNumId w:val="13"/>
  </w:num>
  <w:num w:numId="11" w16cid:durableId="1982344613">
    <w:abstractNumId w:val="18"/>
  </w:num>
  <w:num w:numId="12" w16cid:durableId="877664675">
    <w:abstractNumId w:val="22"/>
  </w:num>
  <w:num w:numId="13" w16cid:durableId="1673987905">
    <w:abstractNumId w:val="6"/>
  </w:num>
  <w:num w:numId="14" w16cid:durableId="567805820">
    <w:abstractNumId w:val="5"/>
  </w:num>
  <w:num w:numId="15" w16cid:durableId="56443018">
    <w:abstractNumId w:val="1"/>
  </w:num>
  <w:num w:numId="16" w16cid:durableId="1435637719">
    <w:abstractNumId w:val="16"/>
  </w:num>
  <w:num w:numId="17" w16cid:durableId="1257250304">
    <w:abstractNumId w:val="23"/>
  </w:num>
  <w:num w:numId="18" w16cid:durableId="1643002645">
    <w:abstractNumId w:val="14"/>
  </w:num>
  <w:num w:numId="19" w16cid:durableId="702483612">
    <w:abstractNumId w:val="25"/>
  </w:num>
  <w:num w:numId="20" w16cid:durableId="290675516">
    <w:abstractNumId w:val="24"/>
  </w:num>
  <w:num w:numId="21" w16cid:durableId="577398293">
    <w:abstractNumId w:val="0"/>
  </w:num>
  <w:num w:numId="22" w16cid:durableId="860431059">
    <w:abstractNumId w:val="21"/>
  </w:num>
  <w:num w:numId="23" w16cid:durableId="665017010">
    <w:abstractNumId w:val="9"/>
  </w:num>
  <w:num w:numId="24" w16cid:durableId="1694528728">
    <w:abstractNumId w:val="15"/>
  </w:num>
  <w:num w:numId="25" w16cid:durableId="1645235369">
    <w:abstractNumId w:val="2"/>
  </w:num>
  <w:num w:numId="26" w16cid:durableId="43564147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32"/>
    <w:rsid w:val="000028EC"/>
    <w:rsid w:val="0000566A"/>
    <w:rsid w:val="000058C2"/>
    <w:rsid w:val="00006BDC"/>
    <w:rsid w:val="00011BA7"/>
    <w:rsid w:val="00012EE7"/>
    <w:rsid w:val="0001582F"/>
    <w:rsid w:val="00023F17"/>
    <w:rsid w:val="00024D0E"/>
    <w:rsid w:val="00030DC2"/>
    <w:rsid w:val="00032271"/>
    <w:rsid w:val="00032EDF"/>
    <w:rsid w:val="00044746"/>
    <w:rsid w:val="000471E0"/>
    <w:rsid w:val="00056D23"/>
    <w:rsid w:val="00060B5E"/>
    <w:rsid w:val="00063212"/>
    <w:rsid w:val="000771D3"/>
    <w:rsid w:val="00084C4B"/>
    <w:rsid w:val="000939CE"/>
    <w:rsid w:val="00097E70"/>
    <w:rsid w:val="000A3949"/>
    <w:rsid w:val="000C7779"/>
    <w:rsid w:val="000D0076"/>
    <w:rsid w:val="000D04D7"/>
    <w:rsid w:val="000D3D13"/>
    <w:rsid w:val="000D43A7"/>
    <w:rsid w:val="000E2621"/>
    <w:rsid w:val="000E5940"/>
    <w:rsid w:val="000E67C1"/>
    <w:rsid w:val="00106E4A"/>
    <w:rsid w:val="00106E8F"/>
    <w:rsid w:val="001130AC"/>
    <w:rsid w:val="00115779"/>
    <w:rsid w:val="00120C21"/>
    <w:rsid w:val="00122260"/>
    <w:rsid w:val="001231B8"/>
    <w:rsid w:val="001240D6"/>
    <w:rsid w:val="00145C45"/>
    <w:rsid w:val="0014727C"/>
    <w:rsid w:val="001527D0"/>
    <w:rsid w:val="00152FE2"/>
    <w:rsid w:val="001561CE"/>
    <w:rsid w:val="00156755"/>
    <w:rsid w:val="00160F54"/>
    <w:rsid w:val="00163346"/>
    <w:rsid w:val="0016388F"/>
    <w:rsid w:val="00166391"/>
    <w:rsid w:val="001663C6"/>
    <w:rsid w:val="00176D04"/>
    <w:rsid w:val="001810E6"/>
    <w:rsid w:val="00186B84"/>
    <w:rsid w:val="00191C2B"/>
    <w:rsid w:val="001926DE"/>
    <w:rsid w:val="00194E85"/>
    <w:rsid w:val="001A3A88"/>
    <w:rsid w:val="001A4A9B"/>
    <w:rsid w:val="001B3C7E"/>
    <w:rsid w:val="001B3D4D"/>
    <w:rsid w:val="001C37CF"/>
    <w:rsid w:val="001C3CDE"/>
    <w:rsid w:val="001C6DBE"/>
    <w:rsid w:val="001C7536"/>
    <w:rsid w:val="001C7F64"/>
    <w:rsid w:val="001D5952"/>
    <w:rsid w:val="001E0815"/>
    <w:rsid w:val="001E0C99"/>
    <w:rsid w:val="001E1680"/>
    <w:rsid w:val="001E1CE5"/>
    <w:rsid w:val="001E1DEB"/>
    <w:rsid w:val="001E2C49"/>
    <w:rsid w:val="001E3FCD"/>
    <w:rsid w:val="001F4E4D"/>
    <w:rsid w:val="001F7322"/>
    <w:rsid w:val="002004C8"/>
    <w:rsid w:val="00200C77"/>
    <w:rsid w:val="002050A9"/>
    <w:rsid w:val="00206548"/>
    <w:rsid w:val="00207FEB"/>
    <w:rsid w:val="002116E0"/>
    <w:rsid w:val="00212B5A"/>
    <w:rsid w:val="002216E3"/>
    <w:rsid w:val="00223B32"/>
    <w:rsid w:val="002240F1"/>
    <w:rsid w:val="0022578A"/>
    <w:rsid w:val="0022613A"/>
    <w:rsid w:val="002265E9"/>
    <w:rsid w:val="00227209"/>
    <w:rsid w:val="00234585"/>
    <w:rsid w:val="002401B1"/>
    <w:rsid w:val="00250ADA"/>
    <w:rsid w:val="00250AFD"/>
    <w:rsid w:val="0025106E"/>
    <w:rsid w:val="00252A37"/>
    <w:rsid w:val="00255277"/>
    <w:rsid w:val="00260343"/>
    <w:rsid w:val="00262D95"/>
    <w:rsid w:val="00270C3D"/>
    <w:rsid w:val="002744CA"/>
    <w:rsid w:val="00274990"/>
    <w:rsid w:val="002810B9"/>
    <w:rsid w:val="00284972"/>
    <w:rsid w:val="00286A87"/>
    <w:rsid w:val="0028776C"/>
    <w:rsid w:val="00290B46"/>
    <w:rsid w:val="0029520A"/>
    <w:rsid w:val="00295264"/>
    <w:rsid w:val="002A3690"/>
    <w:rsid w:val="002C4573"/>
    <w:rsid w:val="002C4F2F"/>
    <w:rsid w:val="002C720D"/>
    <w:rsid w:val="002C758A"/>
    <w:rsid w:val="002D1E8B"/>
    <w:rsid w:val="002D303C"/>
    <w:rsid w:val="002D415B"/>
    <w:rsid w:val="002D57EE"/>
    <w:rsid w:val="002E005B"/>
    <w:rsid w:val="002E0349"/>
    <w:rsid w:val="002E03D0"/>
    <w:rsid w:val="002E080F"/>
    <w:rsid w:val="002E30E0"/>
    <w:rsid w:val="002E4F15"/>
    <w:rsid w:val="002F59A4"/>
    <w:rsid w:val="00300111"/>
    <w:rsid w:val="00310D23"/>
    <w:rsid w:val="00313998"/>
    <w:rsid w:val="00315757"/>
    <w:rsid w:val="00315A84"/>
    <w:rsid w:val="0031684F"/>
    <w:rsid w:val="003177CA"/>
    <w:rsid w:val="00317B2F"/>
    <w:rsid w:val="003239E9"/>
    <w:rsid w:val="00331268"/>
    <w:rsid w:val="00333754"/>
    <w:rsid w:val="003367FD"/>
    <w:rsid w:val="00342A38"/>
    <w:rsid w:val="00351636"/>
    <w:rsid w:val="0035657F"/>
    <w:rsid w:val="003601DB"/>
    <w:rsid w:val="003722F8"/>
    <w:rsid w:val="00372D65"/>
    <w:rsid w:val="003744C8"/>
    <w:rsid w:val="003773C2"/>
    <w:rsid w:val="00380143"/>
    <w:rsid w:val="00380295"/>
    <w:rsid w:val="00385FD8"/>
    <w:rsid w:val="00395716"/>
    <w:rsid w:val="00397F6A"/>
    <w:rsid w:val="003A095F"/>
    <w:rsid w:val="003A3384"/>
    <w:rsid w:val="003A410C"/>
    <w:rsid w:val="003A6415"/>
    <w:rsid w:val="003B2796"/>
    <w:rsid w:val="003B4AE3"/>
    <w:rsid w:val="003B4D58"/>
    <w:rsid w:val="003C0428"/>
    <w:rsid w:val="003C4D64"/>
    <w:rsid w:val="003E0493"/>
    <w:rsid w:val="003E073B"/>
    <w:rsid w:val="003E2687"/>
    <w:rsid w:val="003E3FD8"/>
    <w:rsid w:val="003F003B"/>
    <w:rsid w:val="003F77F6"/>
    <w:rsid w:val="0040125D"/>
    <w:rsid w:val="00404B1E"/>
    <w:rsid w:val="00407817"/>
    <w:rsid w:val="004119A5"/>
    <w:rsid w:val="0041612C"/>
    <w:rsid w:val="00430993"/>
    <w:rsid w:val="00431BEE"/>
    <w:rsid w:val="00434ADA"/>
    <w:rsid w:val="004357E1"/>
    <w:rsid w:val="00440B2F"/>
    <w:rsid w:val="00440D1F"/>
    <w:rsid w:val="00441FAF"/>
    <w:rsid w:val="0044732E"/>
    <w:rsid w:val="00447583"/>
    <w:rsid w:val="00452FCB"/>
    <w:rsid w:val="00454304"/>
    <w:rsid w:val="00454682"/>
    <w:rsid w:val="004568B4"/>
    <w:rsid w:val="00462329"/>
    <w:rsid w:val="00467AE2"/>
    <w:rsid w:val="00471E53"/>
    <w:rsid w:val="0047519D"/>
    <w:rsid w:val="004772CC"/>
    <w:rsid w:val="0048041B"/>
    <w:rsid w:val="004837FA"/>
    <w:rsid w:val="00487925"/>
    <w:rsid w:val="004940EA"/>
    <w:rsid w:val="0049432A"/>
    <w:rsid w:val="004A22B4"/>
    <w:rsid w:val="004A4B22"/>
    <w:rsid w:val="004A69BA"/>
    <w:rsid w:val="004B07AC"/>
    <w:rsid w:val="004B4BB2"/>
    <w:rsid w:val="004C2FB7"/>
    <w:rsid w:val="004C6459"/>
    <w:rsid w:val="004D0390"/>
    <w:rsid w:val="004D3442"/>
    <w:rsid w:val="004D3F0A"/>
    <w:rsid w:val="004D570A"/>
    <w:rsid w:val="004D66E1"/>
    <w:rsid w:val="004E438B"/>
    <w:rsid w:val="004F1F3C"/>
    <w:rsid w:val="004F6F4F"/>
    <w:rsid w:val="00500D32"/>
    <w:rsid w:val="005022EF"/>
    <w:rsid w:val="005057C4"/>
    <w:rsid w:val="00510C26"/>
    <w:rsid w:val="005167F7"/>
    <w:rsid w:val="00523E67"/>
    <w:rsid w:val="00525B0C"/>
    <w:rsid w:val="00527116"/>
    <w:rsid w:val="005327CB"/>
    <w:rsid w:val="0053495E"/>
    <w:rsid w:val="00550118"/>
    <w:rsid w:val="005516B3"/>
    <w:rsid w:val="005522CD"/>
    <w:rsid w:val="0055573E"/>
    <w:rsid w:val="00557BE7"/>
    <w:rsid w:val="00562E10"/>
    <w:rsid w:val="0056518A"/>
    <w:rsid w:val="00565DFC"/>
    <w:rsid w:val="0056696C"/>
    <w:rsid w:val="0058553F"/>
    <w:rsid w:val="00585902"/>
    <w:rsid w:val="00585E75"/>
    <w:rsid w:val="0058740A"/>
    <w:rsid w:val="00593D3E"/>
    <w:rsid w:val="005970E0"/>
    <w:rsid w:val="005A1021"/>
    <w:rsid w:val="005A4449"/>
    <w:rsid w:val="005A5758"/>
    <w:rsid w:val="005B40B3"/>
    <w:rsid w:val="005B7F53"/>
    <w:rsid w:val="005C3BCF"/>
    <w:rsid w:val="005C3DC7"/>
    <w:rsid w:val="005C4386"/>
    <w:rsid w:val="005C6AFE"/>
    <w:rsid w:val="005C7B14"/>
    <w:rsid w:val="005D0564"/>
    <w:rsid w:val="005D5668"/>
    <w:rsid w:val="005E2EA1"/>
    <w:rsid w:val="005E2F85"/>
    <w:rsid w:val="005E3CB2"/>
    <w:rsid w:val="005E60BF"/>
    <w:rsid w:val="005E62BE"/>
    <w:rsid w:val="005F0FDA"/>
    <w:rsid w:val="00602A56"/>
    <w:rsid w:val="006043F2"/>
    <w:rsid w:val="0060542C"/>
    <w:rsid w:val="00607A82"/>
    <w:rsid w:val="0061779C"/>
    <w:rsid w:val="0062157E"/>
    <w:rsid w:val="006243E1"/>
    <w:rsid w:val="006271AC"/>
    <w:rsid w:val="006312EF"/>
    <w:rsid w:val="00637F29"/>
    <w:rsid w:val="0064275E"/>
    <w:rsid w:val="00643960"/>
    <w:rsid w:val="00655663"/>
    <w:rsid w:val="006623A9"/>
    <w:rsid w:val="006639B9"/>
    <w:rsid w:val="00665D25"/>
    <w:rsid w:val="00665FA1"/>
    <w:rsid w:val="006763EA"/>
    <w:rsid w:val="00677875"/>
    <w:rsid w:val="00682F9A"/>
    <w:rsid w:val="00684B08"/>
    <w:rsid w:val="00686C17"/>
    <w:rsid w:val="00687975"/>
    <w:rsid w:val="00690FC0"/>
    <w:rsid w:val="00693BC8"/>
    <w:rsid w:val="006A466C"/>
    <w:rsid w:val="006A490E"/>
    <w:rsid w:val="006A6F48"/>
    <w:rsid w:val="006B07F9"/>
    <w:rsid w:val="006B2608"/>
    <w:rsid w:val="006C2059"/>
    <w:rsid w:val="006C5205"/>
    <w:rsid w:val="006C63C4"/>
    <w:rsid w:val="006C6E95"/>
    <w:rsid w:val="006D1EB0"/>
    <w:rsid w:val="006D3E72"/>
    <w:rsid w:val="006D4618"/>
    <w:rsid w:val="006D617F"/>
    <w:rsid w:val="006D7150"/>
    <w:rsid w:val="006E0E15"/>
    <w:rsid w:val="006E2612"/>
    <w:rsid w:val="006E4394"/>
    <w:rsid w:val="006F07F0"/>
    <w:rsid w:val="006F10B4"/>
    <w:rsid w:val="006F21A8"/>
    <w:rsid w:val="006F6672"/>
    <w:rsid w:val="00700936"/>
    <w:rsid w:val="007020E4"/>
    <w:rsid w:val="007034EC"/>
    <w:rsid w:val="0070771A"/>
    <w:rsid w:val="00710EB3"/>
    <w:rsid w:val="007130FA"/>
    <w:rsid w:val="00714918"/>
    <w:rsid w:val="00716E55"/>
    <w:rsid w:val="0072314B"/>
    <w:rsid w:val="00730B9C"/>
    <w:rsid w:val="007318C7"/>
    <w:rsid w:val="00731E49"/>
    <w:rsid w:val="00732C73"/>
    <w:rsid w:val="00743309"/>
    <w:rsid w:val="00745777"/>
    <w:rsid w:val="0076163D"/>
    <w:rsid w:val="00763BBE"/>
    <w:rsid w:val="00764CD8"/>
    <w:rsid w:val="00765476"/>
    <w:rsid w:val="00765BD2"/>
    <w:rsid w:val="00765F28"/>
    <w:rsid w:val="007734C7"/>
    <w:rsid w:val="0077700B"/>
    <w:rsid w:val="007772BF"/>
    <w:rsid w:val="00784D08"/>
    <w:rsid w:val="00785CAD"/>
    <w:rsid w:val="00791F95"/>
    <w:rsid w:val="0079452B"/>
    <w:rsid w:val="007A164A"/>
    <w:rsid w:val="007A3DA4"/>
    <w:rsid w:val="007A64C5"/>
    <w:rsid w:val="007C1C80"/>
    <w:rsid w:val="007C3985"/>
    <w:rsid w:val="007C4666"/>
    <w:rsid w:val="007C58D9"/>
    <w:rsid w:val="007C7EB9"/>
    <w:rsid w:val="007D26CA"/>
    <w:rsid w:val="007D3A74"/>
    <w:rsid w:val="007D6EAF"/>
    <w:rsid w:val="007E4627"/>
    <w:rsid w:val="007F05CF"/>
    <w:rsid w:val="007F0D6D"/>
    <w:rsid w:val="007F0F2F"/>
    <w:rsid w:val="007F1BEA"/>
    <w:rsid w:val="007F38C3"/>
    <w:rsid w:val="007F597B"/>
    <w:rsid w:val="008131FA"/>
    <w:rsid w:val="008158D0"/>
    <w:rsid w:val="00816138"/>
    <w:rsid w:val="0082224F"/>
    <w:rsid w:val="0082287B"/>
    <w:rsid w:val="00824C1E"/>
    <w:rsid w:val="00830C51"/>
    <w:rsid w:val="0083122B"/>
    <w:rsid w:val="008347E6"/>
    <w:rsid w:val="00834B7C"/>
    <w:rsid w:val="00836AA3"/>
    <w:rsid w:val="0084205C"/>
    <w:rsid w:val="008448DB"/>
    <w:rsid w:val="00847D5D"/>
    <w:rsid w:val="008517CE"/>
    <w:rsid w:val="00851A74"/>
    <w:rsid w:val="008557DF"/>
    <w:rsid w:val="008700D3"/>
    <w:rsid w:val="00870229"/>
    <w:rsid w:val="00870629"/>
    <w:rsid w:val="00873862"/>
    <w:rsid w:val="0087468B"/>
    <w:rsid w:val="00875B97"/>
    <w:rsid w:val="00876F01"/>
    <w:rsid w:val="008805FB"/>
    <w:rsid w:val="00882FA8"/>
    <w:rsid w:val="00884D0C"/>
    <w:rsid w:val="00885A5D"/>
    <w:rsid w:val="00892F76"/>
    <w:rsid w:val="00893770"/>
    <w:rsid w:val="00897C6D"/>
    <w:rsid w:val="008A15C4"/>
    <w:rsid w:val="008A5154"/>
    <w:rsid w:val="008A7D73"/>
    <w:rsid w:val="008A7D7C"/>
    <w:rsid w:val="008B3EAB"/>
    <w:rsid w:val="008B6B20"/>
    <w:rsid w:val="008C4ACD"/>
    <w:rsid w:val="008C785A"/>
    <w:rsid w:val="008C7D3D"/>
    <w:rsid w:val="008D045A"/>
    <w:rsid w:val="008D0848"/>
    <w:rsid w:val="008D4387"/>
    <w:rsid w:val="008E3642"/>
    <w:rsid w:val="008E461A"/>
    <w:rsid w:val="008E4C87"/>
    <w:rsid w:val="008E64E6"/>
    <w:rsid w:val="008F1118"/>
    <w:rsid w:val="008F2D57"/>
    <w:rsid w:val="008F33DD"/>
    <w:rsid w:val="0090125B"/>
    <w:rsid w:val="0090208E"/>
    <w:rsid w:val="00907B44"/>
    <w:rsid w:val="00911A63"/>
    <w:rsid w:val="009136CE"/>
    <w:rsid w:val="00914A3F"/>
    <w:rsid w:val="0091634B"/>
    <w:rsid w:val="00921400"/>
    <w:rsid w:val="0092163A"/>
    <w:rsid w:val="00923D6B"/>
    <w:rsid w:val="009328D3"/>
    <w:rsid w:val="00933EBB"/>
    <w:rsid w:val="00935021"/>
    <w:rsid w:val="0094208E"/>
    <w:rsid w:val="009428A6"/>
    <w:rsid w:val="00945A90"/>
    <w:rsid w:val="00950F75"/>
    <w:rsid w:val="009514EB"/>
    <w:rsid w:val="00952215"/>
    <w:rsid w:val="009542AC"/>
    <w:rsid w:val="00956268"/>
    <w:rsid w:val="00966B4D"/>
    <w:rsid w:val="0096715F"/>
    <w:rsid w:val="009710EE"/>
    <w:rsid w:val="00972CD3"/>
    <w:rsid w:val="00982662"/>
    <w:rsid w:val="00984F81"/>
    <w:rsid w:val="00985AAB"/>
    <w:rsid w:val="00987100"/>
    <w:rsid w:val="009902AC"/>
    <w:rsid w:val="00990A89"/>
    <w:rsid w:val="009946FC"/>
    <w:rsid w:val="009A2F4F"/>
    <w:rsid w:val="009B00DF"/>
    <w:rsid w:val="009B3F99"/>
    <w:rsid w:val="009B4F65"/>
    <w:rsid w:val="009B566D"/>
    <w:rsid w:val="009B56A5"/>
    <w:rsid w:val="009B5CC4"/>
    <w:rsid w:val="009C0650"/>
    <w:rsid w:val="009C1F23"/>
    <w:rsid w:val="009C51CD"/>
    <w:rsid w:val="009C7A0F"/>
    <w:rsid w:val="009D31DE"/>
    <w:rsid w:val="009D3B83"/>
    <w:rsid w:val="009D4107"/>
    <w:rsid w:val="009E5C98"/>
    <w:rsid w:val="009E6D52"/>
    <w:rsid w:val="00A020F8"/>
    <w:rsid w:val="00A02DE5"/>
    <w:rsid w:val="00A0475F"/>
    <w:rsid w:val="00A04ADF"/>
    <w:rsid w:val="00A10245"/>
    <w:rsid w:val="00A1027F"/>
    <w:rsid w:val="00A13899"/>
    <w:rsid w:val="00A15A26"/>
    <w:rsid w:val="00A232D5"/>
    <w:rsid w:val="00A264C0"/>
    <w:rsid w:val="00A35DCC"/>
    <w:rsid w:val="00A467F0"/>
    <w:rsid w:val="00A47F9B"/>
    <w:rsid w:val="00A514D7"/>
    <w:rsid w:val="00A530DD"/>
    <w:rsid w:val="00A54D7D"/>
    <w:rsid w:val="00A55328"/>
    <w:rsid w:val="00A56FEF"/>
    <w:rsid w:val="00A612F1"/>
    <w:rsid w:val="00A64EFA"/>
    <w:rsid w:val="00A65200"/>
    <w:rsid w:val="00A6576D"/>
    <w:rsid w:val="00A709AB"/>
    <w:rsid w:val="00A74627"/>
    <w:rsid w:val="00A8053B"/>
    <w:rsid w:val="00A80C00"/>
    <w:rsid w:val="00A8125D"/>
    <w:rsid w:val="00A84BA2"/>
    <w:rsid w:val="00A84BE0"/>
    <w:rsid w:val="00A90738"/>
    <w:rsid w:val="00A93A55"/>
    <w:rsid w:val="00A97815"/>
    <w:rsid w:val="00AA3900"/>
    <w:rsid w:val="00AA3A04"/>
    <w:rsid w:val="00AA3A24"/>
    <w:rsid w:val="00AA69EC"/>
    <w:rsid w:val="00AA77F4"/>
    <w:rsid w:val="00AB1CF5"/>
    <w:rsid w:val="00AB22F7"/>
    <w:rsid w:val="00AB41BF"/>
    <w:rsid w:val="00AB7AEF"/>
    <w:rsid w:val="00AC5776"/>
    <w:rsid w:val="00AD0DC3"/>
    <w:rsid w:val="00AD51BB"/>
    <w:rsid w:val="00AD763A"/>
    <w:rsid w:val="00AE1677"/>
    <w:rsid w:val="00AE167B"/>
    <w:rsid w:val="00AE2831"/>
    <w:rsid w:val="00AE2F51"/>
    <w:rsid w:val="00AE3E2B"/>
    <w:rsid w:val="00AE42B1"/>
    <w:rsid w:val="00AE58D1"/>
    <w:rsid w:val="00AF08E5"/>
    <w:rsid w:val="00AF0D60"/>
    <w:rsid w:val="00AF365D"/>
    <w:rsid w:val="00B003E7"/>
    <w:rsid w:val="00B01CDD"/>
    <w:rsid w:val="00B01E96"/>
    <w:rsid w:val="00B069C3"/>
    <w:rsid w:val="00B074B0"/>
    <w:rsid w:val="00B11A62"/>
    <w:rsid w:val="00B15232"/>
    <w:rsid w:val="00B21E60"/>
    <w:rsid w:val="00B22D33"/>
    <w:rsid w:val="00B23E37"/>
    <w:rsid w:val="00B24543"/>
    <w:rsid w:val="00B27691"/>
    <w:rsid w:val="00B32BE1"/>
    <w:rsid w:val="00B36D12"/>
    <w:rsid w:val="00B37441"/>
    <w:rsid w:val="00B43018"/>
    <w:rsid w:val="00B45902"/>
    <w:rsid w:val="00B46782"/>
    <w:rsid w:val="00B46C90"/>
    <w:rsid w:val="00B513E0"/>
    <w:rsid w:val="00B557FF"/>
    <w:rsid w:val="00B602BE"/>
    <w:rsid w:val="00B60935"/>
    <w:rsid w:val="00B64A53"/>
    <w:rsid w:val="00B70C74"/>
    <w:rsid w:val="00B7478B"/>
    <w:rsid w:val="00B74C48"/>
    <w:rsid w:val="00B767F5"/>
    <w:rsid w:val="00B800B9"/>
    <w:rsid w:val="00B86AB9"/>
    <w:rsid w:val="00B86EF9"/>
    <w:rsid w:val="00B87687"/>
    <w:rsid w:val="00B87B58"/>
    <w:rsid w:val="00B955D1"/>
    <w:rsid w:val="00B95BB8"/>
    <w:rsid w:val="00BA69D0"/>
    <w:rsid w:val="00BB137B"/>
    <w:rsid w:val="00BB60F4"/>
    <w:rsid w:val="00BC1BEC"/>
    <w:rsid w:val="00BC4D5F"/>
    <w:rsid w:val="00BD394B"/>
    <w:rsid w:val="00BD3E5E"/>
    <w:rsid w:val="00BE0E9C"/>
    <w:rsid w:val="00BE2E36"/>
    <w:rsid w:val="00BE5031"/>
    <w:rsid w:val="00BE7785"/>
    <w:rsid w:val="00BF2247"/>
    <w:rsid w:val="00C01052"/>
    <w:rsid w:val="00C048EC"/>
    <w:rsid w:val="00C10FDA"/>
    <w:rsid w:val="00C112EC"/>
    <w:rsid w:val="00C17D1F"/>
    <w:rsid w:val="00C20B2F"/>
    <w:rsid w:val="00C20C32"/>
    <w:rsid w:val="00C36E4B"/>
    <w:rsid w:val="00C4766E"/>
    <w:rsid w:val="00C478AD"/>
    <w:rsid w:val="00C5201B"/>
    <w:rsid w:val="00C52C7B"/>
    <w:rsid w:val="00C53B69"/>
    <w:rsid w:val="00C65810"/>
    <w:rsid w:val="00C65BB7"/>
    <w:rsid w:val="00C679BC"/>
    <w:rsid w:val="00C719C2"/>
    <w:rsid w:val="00C74656"/>
    <w:rsid w:val="00C87768"/>
    <w:rsid w:val="00C87E15"/>
    <w:rsid w:val="00CA04F0"/>
    <w:rsid w:val="00CA0828"/>
    <w:rsid w:val="00CA3782"/>
    <w:rsid w:val="00CB1D18"/>
    <w:rsid w:val="00CB3ED3"/>
    <w:rsid w:val="00CB55E7"/>
    <w:rsid w:val="00CC1371"/>
    <w:rsid w:val="00CC5B33"/>
    <w:rsid w:val="00CD163D"/>
    <w:rsid w:val="00CD2F9D"/>
    <w:rsid w:val="00CD4E88"/>
    <w:rsid w:val="00CE0BAA"/>
    <w:rsid w:val="00CE247D"/>
    <w:rsid w:val="00CE4C9C"/>
    <w:rsid w:val="00CF0FA2"/>
    <w:rsid w:val="00CF2255"/>
    <w:rsid w:val="00CF2F74"/>
    <w:rsid w:val="00CF4595"/>
    <w:rsid w:val="00D0408F"/>
    <w:rsid w:val="00D07C48"/>
    <w:rsid w:val="00D10B0E"/>
    <w:rsid w:val="00D112B5"/>
    <w:rsid w:val="00D11600"/>
    <w:rsid w:val="00D1247C"/>
    <w:rsid w:val="00D1572D"/>
    <w:rsid w:val="00D1666D"/>
    <w:rsid w:val="00D26921"/>
    <w:rsid w:val="00D26F2B"/>
    <w:rsid w:val="00D2725B"/>
    <w:rsid w:val="00D31EB6"/>
    <w:rsid w:val="00D32A7A"/>
    <w:rsid w:val="00D37275"/>
    <w:rsid w:val="00D3747F"/>
    <w:rsid w:val="00D44633"/>
    <w:rsid w:val="00D46A18"/>
    <w:rsid w:val="00D47B90"/>
    <w:rsid w:val="00D5016B"/>
    <w:rsid w:val="00D51993"/>
    <w:rsid w:val="00D52BB4"/>
    <w:rsid w:val="00D5510B"/>
    <w:rsid w:val="00D5666C"/>
    <w:rsid w:val="00D60609"/>
    <w:rsid w:val="00D60A45"/>
    <w:rsid w:val="00D612AA"/>
    <w:rsid w:val="00D85BD9"/>
    <w:rsid w:val="00D936B7"/>
    <w:rsid w:val="00D940D2"/>
    <w:rsid w:val="00DA05C5"/>
    <w:rsid w:val="00DB38B0"/>
    <w:rsid w:val="00DC1DBA"/>
    <w:rsid w:val="00DC3BA2"/>
    <w:rsid w:val="00DD04D2"/>
    <w:rsid w:val="00DD36B0"/>
    <w:rsid w:val="00DD5195"/>
    <w:rsid w:val="00DD783C"/>
    <w:rsid w:val="00DE3C8A"/>
    <w:rsid w:val="00DF223E"/>
    <w:rsid w:val="00DF49EA"/>
    <w:rsid w:val="00DF511C"/>
    <w:rsid w:val="00DF5BEF"/>
    <w:rsid w:val="00DF743A"/>
    <w:rsid w:val="00DF7A96"/>
    <w:rsid w:val="00E015BA"/>
    <w:rsid w:val="00E0234A"/>
    <w:rsid w:val="00E02576"/>
    <w:rsid w:val="00E052F1"/>
    <w:rsid w:val="00E074FE"/>
    <w:rsid w:val="00E140E1"/>
    <w:rsid w:val="00E16405"/>
    <w:rsid w:val="00E17209"/>
    <w:rsid w:val="00E17397"/>
    <w:rsid w:val="00E17441"/>
    <w:rsid w:val="00E17620"/>
    <w:rsid w:val="00E27325"/>
    <w:rsid w:val="00E30C5E"/>
    <w:rsid w:val="00E35E12"/>
    <w:rsid w:val="00E417FB"/>
    <w:rsid w:val="00E515F2"/>
    <w:rsid w:val="00E544A8"/>
    <w:rsid w:val="00E56A35"/>
    <w:rsid w:val="00E60603"/>
    <w:rsid w:val="00E62213"/>
    <w:rsid w:val="00E64460"/>
    <w:rsid w:val="00E66A11"/>
    <w:rsid w:val="00E7101D"/>
    <w:rsid w:val="00E71FE6"/>
    <w:rsid w:val="00E746A6"/>
    <w:rsid w:val="00E74CBF"/>
    <w:rsid w:val="00E77617"/>
    <w:rsid w:val="00E8043D"/>
    <w:rsid w:val="00E85FE2"/>
    <w:rsid w:val="00E86AC8"/>
    <w:rsid w:val="00E90676"/>
    <w:rsid w:val="00E9365B"/>
    <w:rsid w:val="00EA4EBA"/>
    <w:rsid w:val="00EA55F8"/>
    <w:rsid w:val="00EA7B94"/>
    <w:rsid w:val="00EB068B"/>
    <w:rsid w:val="00EB0F3A"/>
    <w:rsid w:val="00EB2B31"/>
    <w:rsid w:val="00EB6D7C"/>
    <w:rsid w:val="00EB7382"/>
    <w:rsid w:val="00EB74DB"/>
    <w:rsid w:val="00EC41CE"/>
    <w:rsid w:val="00EC4D6A"/>
    <w:rsid w:val="00EC7BBE"/>
    <w:rsid w:val="00ED0AA9"/>
    <w:rsid w:val="00ED58D0"/>
    <w:rsid w:val="00ED7F00"/>
    <w:rsid w:val="00EE17E6"/>
    <w:rsid w:val="00EE49EE"/>
    <w:rsid w:val="00EE4D74"/>
    <w:rsid w:val="00EF00D5"/>
    <w:rsid w:val="00EF26DA"/>
    <w:rsid w:val="00EF3D05"/>
    <w:rsid w:val="00EF5C2D"/>
    <w:rsid w:val="00F03B75"/>
    <w:rsid w:val="00F043B7"/>
    <w:rsid w:val="00F06CFF"/>
    <w:rsid w:val="00F100D2"/>
    <w:rsid w:val="00F135C2"/>
    <w:rsid w:val="00F140FD"/>
    <w:rsid w:val="00F15A65"/>
    <w:rsid w:val="00F34EF2"/>
    <w:rsid w:val="00F35807"/>
    <w:rsid w:val="00F35D92"/>
    <w:rsid w:val="00F3642D"/>
    <w:rsid w:val="00F36C71"/>
    <w:rsid w:val="00F372F2"/>
    <w:rsid w:val="00F43A26"/>
    <w:rsid w:val="00F45512"/>
    <w:rsid w:val="00F4596B"/>
    <w:rsid w:val="00F4636D"/>
    <w:rsid w:val="00F5134C"/>
    <w:rsid w:val="00F5175D"/>
    <w:rsid w:val="00F54B68"/>
    <w:rsid w:val="00F573F2"/>
    <w:rsid w:val="00F63AE2"/>
    <w:rsid w:val="00F71337"/>
    <w:rsid w:val="00F73E8A"/>
    <w:rsid w:val="00F741FB"/>
    <w:rsid w:val="00F75E32"/>
    <w:rsid w:val="00FA142C"/>
    <w:rsid w:val="00FA1BFF"/>
    <w:rsid w:val="00FA79AE"/>
    <w:rsid w:val="00FC3A0A"/>
    <w:rsid w:val="00FD10A6"/>
    <w:rsid w:val="00FE18A8"/>
    <w:rsid w:val="00FE2C7A"/>
    <w:rsid w:val="00FE6446"/>
    <w:rsid w:val="00FF0F2B"/>
    <w:rsid w:val="00FF58A7"/>
    <w:rsid w:val="00FF6F59"/>
    <w:rsid w:val="00FF7F55"/>
    <w:rsid w:val="15915684"/>
    <w:rsid w:val="26594541"/>
    <w:rsid w:val="4A539B87"/>
    <w:rsid w:val="5DF994AF"/>
    <w:rsid w:val="739DE626"/>
    <w:rsid w:val="7B0BC4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112E1F8"/>
  <w15:docId w15:val="{B06A1B07-0C0D-4618-85A5-34808F78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E1"/>
  </w:style>
  <w:style w:type="paragraph" w:styleId="Heading1">
    <w:name w:val="heading 1"/>
    <w:basedOn w:val="Normal"/>
    <w:next w:val="Normal"/>
    <w:link w:val="Heading1Char"/>
    <w:uiPriority w:val="9"/>
    <w:qFormat/>
    <w:rsid w:val="00BE7785"/>
    <w:pPr>
      <w:keepNext/>
      <w:spacing w:before="120" w:after="120" w:line="240" w:lineRule="auto"/>
      <w:outlineLvl w:val="0"/>
    </w:pPr>
    <w:rPr>
      <w:rFonts w:ascii="Arial" w:eastAsia="Times New Roman" w:hAnsi="Arial" w:cs="Times New Roman"/>
      <w:b/>
      <w:bCs/>
      <w:kern w:val="32"/>
      <w:sz w:val="24"/>
      <w:szCs w:val="32"/>
      <w:lang w:eastAsia="en-GB"/>
    </w:rPr>
  </w:style>
  <w:style w:type="paragraph" w:styleId="Heading2">
    <w:name w:val="heading 2"/>
    <w:basedOn w:val="Normal"/>
    <w:next w:val="Normal"/>
    <w:link w:val="Heading2Char"/>
    <w:uiPriority w:val="9"/>
    <w:unhideWhenUsed/>
    <w:qFormat/>
    <w:rsid w:val="00E60603"/>
    <w:pPr>
      <w:keepNext/>
      <w:keepLines/>
      <w:spacing w:before="120" w:after="120" w:line="240" w:lineRule="auto"/>
      <w:outlineLvl w:val="1"/>
    </w:pPr>
    <w:rPr>
      <w:rFonts w:ascii="Arial" w:eastAsiaTheme="majorEastAsia" w:hAnsi="Arial"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2F1"/>
    <w:pPr>
      <w:ind w:left="720"/>
      <w:contextualSpacing/>
    </w:pPr>
  </w:style>
  <w:style w:type="character" w:styleId="CommentReference">
    <w:name w:val="annotation reference"/>
    <w:basedOn w:val="DefaultParagraphFont"/>
    <w:uiPriority w:val="99"/>
    <w:semiHidden/>
    <w:unhideWhenUsed/>
    <w:rsid w:val="00911A63"/>
    <w:rPr>
      <w:sz w:val="16"/>
      <w:szCs w:val="16"/>
    </w:rPr>
  </w:style>
  <w:style w:type="paragraph" w:styleId="CommentText">
    <w:name w:val="annotation text"/>
    <w:basedOn w:val="Normal"/>
    <w:link w:val="CommentTextChar"/>
    <w:uiPriority w:val="99"/>
    <w:semiHidden/>
    <w:unhideWhenUsed/>
    <w:rsid w:val="00911A63"/>
    <w:pPr>
      <w:spacing w:line="240" w:lineRule="auto"/>
    </w:pPr>
    <w:rPr>
      <w:sz w:val="20"/>
      <w:szCs w:val="20"/>
    </w:rPr>
  </w:style>
  <w:style w:type="character" w:customStyle="1" w:styleId="CommentTextChar">
    <w:name w:val="Comment Text Char"/>
    <w:basedOn w:val="DefaultParagraphFont"/>
    <w:link w:val="CommentText"/>
    <w:uiPriority w:val="99"/>
    <w:semiHidden/>
    <w:rsid w:val="00911A63"/>
    <w:rPr>
      <w:sz w:val="20"/>
      <w:szCs w:val="20"/>
    </w:rPr>
  </w:style>
  <w:style w:type="paragraph" w:styleId="CommentSubject">
    <w:name w:val="annotation subject"/>
    <w:basedOn w:val="CommentText"/>
    <w:next w:val="CommentText"/>
    <w:link w:val="CommentSubjectChar"/>
    <w:uiPriority w:val="99"/>
    <w:semiHidden/>
    <w:unhideWhenUsed/>
    <w:rsid w:val="00911A63"/>
    <w:rPr>
      <w:b/>
      <w:bCs/>
    </w:rPr>
  </w:style>
  <w:style w:type="character" w:customStyle="1" w:styleId="CommentSubjectChar">
    <w:name w:val="Comment Subject Char"/>
    <w:basedOn w:val="CommentTextChar"/>
    <w:link w:val="CommentSubject"/>
    <w:uiPriority w:val="99"/>
    <w:semiHidden/>
    <w:rsid w:val="00911A63"/>
    <w:rPr>
      <w:b/>
      <w:bCs/>
      <w:sz w:val="20"/>
      <w:szCs w:val="20"/>
    </w:rPr>
  </w:style>
  <w:style w:type="paragraph" w:styleId="BalloonText">
    <w:name w:val="Balloon Text"/>
    <w:basedOn w:val="Normal"/>
    <w:link w:val="BalloonTextChar"/>
    <w:uiPriority w:val="99"/>
    <w:semiHidden/>
    <w:unhideWhenUsed/>
    <w:rsid w:val="00911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A63"/>
    <w:rPr>
      <w:rFonts w:ascii="Tahoma" w:hAnsi="Tahoma" w:cs="Tahoma"/>
      <w:sz w:val="16"/>
      <w:szCs w:val="16"/>
    </w:rPr>
  </w:style>
  <w:style w:type="paragraph" w:customStyle="1" w:styleId="Default">
    <w:name w:val="Default"/>
    <w:rsid w:val="007D26C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93B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3BC8"/>
  </w:style>
  <w:style w:type="paragraph" w:styleId="Footer">
    <w:name w:val="footer"/>
    <w:basedOn w:val="Normal"/>
    <w:link w:val="FooterChar"/>
    <w:uiPriority w:val="99"/>
    <w:unhideWhenUsed/>
    <w:rsid w:val="00693B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3BC8"/>
  </w:style>
  <w:style w:type="table" w:styleId="TableGrid">
    <w:name w:val="Table Grid"/>
    <w:basedOn w:val="TableNormal"/>
    <w:uiPriority w:val="39"/>
    <w:rsid w:val="009428A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7785"/>
    <w:pPr>
      <w:spacing w:after="0" w:line="240" w:lineRule="auto"/>
    </w:pPr>
    <w:rPr>
      <w:rFonts w:ascii="Arial" w:eastAsia="Calibri" w:hAnsi="Arial" w:cs="Times New Roman"/>
    </w:rPr>
  </w:style>
  <w:style w:type="character" w:customStyle="1" w:styleId="Heading1Char">
    <w:name w:val="Heading 1 Char"/>
    <w:basedOn w:val="DefaultParagraphFont"/>
    <w:link w:val="Heading1"/>
    <w:uiPriority w:val="9"/>
    <w:rsid w:val="00BE7785"/>
    <w:rPr>
      <w:rFonts w:ascii="Arial" w:eastAsia="Times New Roman" w:hAnsi="Arial" w:cs="Times New Roman"/>
      <w:b/>
      <w:bCs/>
      <w:kern w:val="32"/>
      <w:sz w:val="24"/>
      <w:szCs w:val="32"/>
      <w:lang w:eastAsia="en-GB"/>
    </w:rPr>
  </w:style>
  <w:style w:type="character" w:styleId="Hyperlink">
    <w:name w:val="Hyperlink"/>
    <w:basedOn w:val="DefaultParagraphFont"/>
    <w:uiPriority w:val="99"/>
    <w:unhideWhenUsed/>
    <w:rsid w:val="007318C7"/>
    <w:rPr>
      <w:color w:val="0000FF" w:themeColor="hyperlink"/>
      <w:u w:val="single"/>
    </w:rPr>
  </w:style>
  <w:style w:type="character" w:customStyle="1" w:styleId="Heading2Char">
    <w:name w:val="Heading 2 Char"/>
    <w:basedOn w:val="DefaultParagraphFont"/>
    <w:link w:val="Heading2"/>
    <w:uiPriority w:val="9"/>
    <w:rsid w:val="00E60603"/>
    <w:rPr>
      <w:rFonts w:ascii="Arial" w:eastAsiaTheme="majorEastAsia" w:hAnsi="Arial" w:cstheme="majorBidi"/>
      <w:b/>
      <w:bCs/>
      <w:i/>
      <w:szCs w:val="26"/>
    </w:rPr>
  </w:style>
  <w:style w:type="paragraph" w:styleId="TOC1">
    <w:name w:val="toc 1"/>
    <w:basedOn w:val="Normal"/>
    <w:next w:val="Normal"/>
    <w:autoRedefine/>
    <w:uiPriority w:val="39"/>
    <w:unhideWhenUsed/>
    <w:rsid w:val="00527116"/>
    <w:pPr>
      <w:spacing w:before="120" w:after="120" w:line="240" w:lineRule="auto"/>
    </w:pPr>
    <w:rPr>
      <w:rFonts w:ascii="Arial" w:hAnsi="Arial"/>
    </w:rPr>
  </w:style>
  <w:style w:type="paragraph" w:styleId="TOC2">
    <w:name w:val="toc 2"/>
    <w:basedOn w:val="Normal"/>
    <w:next w:val="Normal"/>
    <w:autoRedefine/>
    <w:uiPriority w:val="39"/>
    <w:unhideWhenUsed/>
    <w:rsid w:val="00710EB3"/>
    <w:pPr>
      <w:tabs>
        <w:tab w:val="right" w:leader="dot" w:pos="9016"/>
      </w:tabs>
      <w:spacing w:before="120" w:after="120" w:line="240" w:lineRule="auto"/>
      <w:ind w:left="360"/>
    </w:pPr>
    <w:rPr>
      <w:rFonts w:ascii="Arial" w:eastAsiaTheme="minorEastAsia" w:hAnsi="Arial" w:cs="Arial"/>
      <w:noProof/>
      <w:lang w:eastAsia="en-GB"/>
    </w:rPr>
  </w:style>
  <w:style w:type="character" w:styleId="FollowedHyperlink">
    <w:name w:val="FollowedHyperlink"/>
    <w:basedOn w:val="DefaultParagraphFont"/>
    <w:uiPriority w:val="99"/>
    <w:semiHidden/>
    <w:unhideWhenUsed/>
    <w:rsid w:val="00F100D2"/>
    <w:rPr>
      <w:color w:val="800080" w:themeColor="followedHyperlink"/>
      <w:u w:val="single"/>
    </w:rPr>
  </w:style>
  <w:style w:type="paragraph" w:styleId="TOC3">
    <w:name w:val="toc 3"/>
    <w:basedOn w:val="Normal"/>
    <w:next w:val="Normal"/>
    <w:autoRedefine/>
    <w:uiPriority w:val="39"/>
    <w:semiHidden/>
    <w:unhideWhenUsed/>
    <w:rsid w:val="0022578A"/>
    <w:pPr>
      <w:spacing w:before="120" w:after="120" w:line="240" w:lineRule="auto"/>
      <w:ind w:left="720"/>
    </w:pPr>
    <w:rPr>
      <w:rFonts w:ascii="Arial" w:hAnsi="Arial"/>
    </w:rPr>
  </w:style>
  <w:style w:type="paragraph" w:customStyle="1" w:styleId="TableParagraph">
    <w:name w:val="Table Paragraph"/>
    <w:basedOn w:val="Normal"/>
    <w:uiPriority w:val="1"/>
    <w:qFormat/>
    <w:rsid w:val="006F10B4"/>
    <w:pPr>
      <w:widowControl w:val="0"/>
      <w:spacing w:after="0" w:line="240" w:lineRule="auto"/>
    </w:pPr>
    <w:rPr>
      <w:lang w:val="en-US"/>
    </w:rPr>
  </w:style>
  <w:style w:type="paragraph" w:styleId="FootnoteText">
    <w:name w:val="footnote text"/>
    <w:basedOn w:val="Normal"/>
    <w:link w:val="FootnoteTextChar"/>
    <w:uiPriority w:val="99"/>
    <w:semiHidden/>
    <w:unhideWhenUsed/>
    <w:rsid w:val="00EC7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BBE"/>
    <w:rPr>
      <w:sz w:val="20"/>
      <w:szCs w:val="20"/>
    </w:rPr>
  </w:style>
  <w:style w:type="character" w:styleId="FootnoteReference">
    <w:name w:val="footnote reference"/>
    <w:basedOn w:val="DefaultParagraphFont"/>
    <w:uiPriority w:val="99"/>
    <w:semiHidden/>
    <w:unhideWhenUsed/>
    <w:rsid w:val="00EC7BBE"/>
    <w:rPr>
      <w:vertAlign w:val="superscript"/>
    </w:rPr>
  </w:style>
  <w:style w:type="character" w:styleId="UnresolvedMention">
    <w:name w:val="Unresolved Mention"/>
    <w:basedOn w:val="DefaultParagraphFont"/>
    <w:uiPriority w:val="99"/>
    <w:semiHidden/>
    <w:unhideWhenUsed/>
    <w:rsid w:val="00EC7BBE"/>
    <w:rPr>
      <w:color w:val="605E5C"/>
      <w:shd w:val="clear" w:color="auto" w:fill="E1DFDD"/>
    </w:rPr>
  </w:style>
  <w:style w:type="paragraph" w:styleId="BodyText">
    <w:name w:val="Body Text"/>
    <w:basedOn w:val="Normal"/>
    <w:link w:val="BodyTextChar"/>
    <w:uiPriority w:val="1"/>
    <w:qFormat/>
    <w:rsid w:val="006A490E"/>
    <w:pPr>
      <w:widowControl w:val="0"/>
      <w:spacing w:after="0" w:line="240" w:lineRule="auto"/>
      <w:ind w:left="822" w:hanging="360"/>
    </w:pPr>
    <w:rPr>
      <w:rFonts w:ascii="Calibri" w:eastAsia="Calibri" w:hAnsi="Calibri"/>
      <w:i/>
      <w:u w:val="single"/>
      <w:lang w:val="en-US"/>
    </w:rPr>
  </w:style>
  <w:style w:type="character" w:customStyle="1" w:styleId="BodyTextChar">
    <w:name w:val="Body Text Char"/>
    <w:basedOn w:val="DefaultParagraphFont"/>
    <w:link w:val="BodyText"/>
    <w:uiPriority w:val="1"/>
    <w:rsid w:val="006A490E"/>
    <w:rPr>
      <w:rFonts w:ascii="Calibri" w:eastAsia="Calibri" w:hAnsi="Calibri"/>
      <w:i/>
      <w:u w:val="single"/>
      <w:lang w:val="en-US"/>
    </w:rPr>
  </w:style>
  <w:style w:type="paragraph" w:styleId="Revision">
    <w:name w:val="Revision"/>
    <w:hidden/>
    <w:uiPriority w:val="99"/>
    <w:semiHidden/>
    <w:rsid w:val="00D07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urrey.ac.uk/quality-framework/academic-and-student-regulations-and-procedures" TargetMode="External"/><Relationship Id="rId26" Type="http://schemas.openxmlformats.org/officeDocument/2006/relationships/hyperlink" Target="https://www.surrey.ac.uk/subjects/health-sciences-nursing-and-midwifery" TargetMode="External"/><Relationship Id="rId39" Type="http://schemas.openxmlformats.org/officeDocument/2006/relationships/hyperlink" Target="https://www.surrey.ac.uk/quality-framework/academic-and-student-regulations-and-procedures" TargetMode="External"/><Relationship Id="rId21" Type="http://schemas.openxmlformats.org/officeDocument/2006/relationships/hyperlink" Target="http://www.ucas.com" TargetMode="External"/><Relationship Id="rId34" Type="http://schemas.openxmlformats.org/officeDocument/2006/relationships/hyperlink" Target="https://www.surrey.ac.uk/schools-colleges/parents-and-carers" TargetMode="External"/><Relationship Id="rId42" Type="http://schemas.openxmlformats.org/officeDocument/2006/relationships/hyperlink" Target="file:///\\surrey.ac.uk\storage\Shared\dst_dst\Quality%20Framework\Codes%20of%20Practice\2022-23\Word%20files%20with%20track%20changes\ucas.com" TargetMode="External"/><Relationship Id="rId47" Type="http://schemas.openxmlformats.org/officeDocument/2006/relationships/hyperlink" Target="https://www.surrey.ac.uk/quality-framework/codes-practice" TargetMode="External"/><Relationship Id="rId50" Type="http://schemas.openxmlformats.org/officeDocument/2006/relationships/hyperlink" Target="https://www.surrey.ac.uk/about/policies-and-procedur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fficeforstudents.org.uk/advice-and-guidance/" TargetMode="External"/><Relationship Id="rId29" Type="http://schemas.openxmlformats.org/officeDocument/2006/relationships/hyperlink" Target="https://www.surrey.ac.uk/about/policies-and-procedures/safeguarding" TargetMode="External"/><Relationship Id="rId11" Type="http://schemas.openxmlformats.org/officeDocument/2006/relationships/image" Target="media/image1.jpeg"/><Relationship Id="rId24" Type="http://schemas.openxmlformats.org/officeDocument/2006/relationships/hyperlink" Target="https://www.surrey.ac.uk/apply/international/english-language-requirements" TargetMode="External"/><Relationship Id="rId32" Type="http://schemas.openxmlformats.org/officeDocument/2006/relationships/hyperlink" Target="https://www.surrey.ac.uk/schools-colleges/in2surrey" TargetMode="External"/><Relationship Id="rId37" Type="http://schemas.openxmlformats.org/officeDocument/2006/relationships/hyperlink" Target="https://www.gov.uk/guidance/academic-technology-approval-scheme" TargetMode="External"/><Relationship Id="rId40" Type="http://schemas.openxmlformats.org/officeDocument/2006/relationships/hyperlink" Target="https://www.surrey.ac.uk/quality-framework/academic-and-student-regulations-and-procedures" TargetMode="External"/><Relationship Id="rId45" Type="http://schemas.openxmlformats.org/officeDocument/2006/relationships/hyperlink" Target="https://www.surrey.ac.uk/apply/policies/admissions-complaints-procedur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urrey.ac.uk/quality-framework/academic-and-student-regulations-and-procedures" TargetMode="External"/><Relationship Id="rId31" Type="http://schemas.openxmlformats.org/officeDocument/2006/relationships/hyperlink" Target="http://www.officeforstudents.org.uk/advice-and-guidance/promoting-equal-opportunities/access-and-participation-plans/" TargetMode="External"/><Relationship Id="rId44" Type="http://schemas.openxmlformats.org/officeDocument/2006/relationships/hyperlink" Target="https://www.surrey.ac.uk/apply/policies/admissions-complaints-procedur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urrey.ac.uk/apply/policies" TargetMode="External"/><Relationship Id="rId27" Type="http://schemas.openxmlformats.org/officeDocument/2006/relationships/hyperlink" Target="https://www.surrey.ac.uk/undergraduate/veterinary-medicine-and-science" TargetMode="External"/><Relationship Id="rId30" Type="http://schemas.openxmlformats.org/officeDocument/2006/relationships/hyperlink" Target="http://www.surrey.ac.uk/schools-colleges" TargetMode="External"/><Relationship Id="rId35" Type="http://schemas.openxmlformats.org/officeDocument/2006/relationships/hyperlink" Target="https://www.gov.uk/government/organisations/uk-visas-and-immigration" TargetMode="External"/><Relationship Id="rId43" Type="http://schemas.openxmlformats.org/officeDocument/2006/relationships/hyperlink" Target="https://www.surrey.ac.uk/information-management/data-protection" TargetMode="External"/><Relationship Id="rId48" Type="http://schemas.openxmlformats.org/officeDocument/2006/relationships/hyperlink" Target="https://www.surrey.ac.uk/sites/default/files/2021-10/criminal-convictions-policy.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urrey.ac.uk/quality-framework" TargetMode="External"/><Relationship Id="rId25" Type="http://schemas.openxmlformats.org/officeDocument/2006/relationships/hyperlink" Target="mailto:headofadmissions@surrey.ac.uk" TargetMode="External"/><Relationship Id="rId33" Type="http://schemas.openxmlformats.org/officeDocument/2006/relationships/hyperlink" Target="http://www.surrey.ac.uk/currentstudents/study/als/prospective/index.htm" TargetMode="External"/><Relationship Id="rId38" Type="http://schemas.openxmlformats.org/officeDocument/2006/relationships/hyperlink" Target="https://www.surrey.ac.uk/sites/default/files/2019-08/criminal-convictions-policy.pdf" TargetMode="External"/><Relationship Id="rId46" Type="http://schemas.openxmlformats.org/officeDocument/2006/relationships/hyperlink" Target="https://www.surrey.ac.uk/apply/policies/admissions-complaints-procedure" TargetMode="External"/><Relationship Id="rId20" Type="http://schemas.openxmlformats.org/officeDocument/2006/relationships/hyperlink" Target="https://isc.surrey.ac.uk/" TargetMode="External"/><Relationship Id="rId41" Type="http://schemas.openxmlformats.org/officeDocument/2006/relationships/hyperlink" Target="https://www.surrey.ac.uk/sites/default/files/2019-08/criminal-convictions-polic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surrey.ac.uk/quality-framework/codes-practice" TargetMode="External"/><Relationship Id="rId28" Type="http://schemas.openxmlformats.org/officeDocument/2006/relationships/hyperlink" Target="https://www.surrey.ac.uk/quality-framework/codes-practice" TargetMode="External"/><Relationship Id="rId36" Type="http://schemas.openxmlformats.org/officeDocument/2006/relationships/hyperlink" Target="https://www.surrey.ac.uk/apply/policies" TargetMode="External"/><Relationship Id="rId49" Type="http://schemas.openxmlformats.org/officeDocument/2006/relationships/hyperlink" Target="https://www.surrey.ac.uk/apply/policies/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60320B8979F42A473BAE45E0DD30B" ma:contentTypeVersion="16" ma:contentTypeDescription="Create a new document." ma:contentTypeScope="" ma:versionID="e63ce85877ae34d9354169122196972f">
  <xsd:schema xmlns:xsd="http://www.w3.org/2001/XMLSchema" xmlns:xs="http://www.w3.org/2001/XMLSchema" xmlns:p="http://schemas.microsoft.com/office/2006/metadata/properties" xmlns:ns2="7a4cb0fe-d602-44bc-88c4-e7a6cbf991db" xmlns:ns3="0984d298-55c0-4509-a612-aa31810bdfad" targetNamespace="http://schemas.microsoft.com/office/2006/metadata/properties" ma:root="true" ma:fieldsID="0c5c640f7affe647e8ec45b23dc6415e" ns2:_="" ns3:_="">
    <xsd:import namespace="7a4cb0fe-d602-44bc-88c4-e7a6cbf991db"/>
    <xsd:import namespace="0984d298-55c0-4509-a612-aa31810bdf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cb0fe-d602-44bc-88c4-e7a6cbf99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84d298-55c0-4509-a612-aa31810bdf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346cf3-7931-49f3-b1ae-f9c372a05d42}" ma:internalName="TaxCatchAll" ma:showField="CatchAllData" ma:web="0984d298-55c0-4509-a612-aa31810bd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84d298-55c0-4509-a612-aa31810bdfad" xsi:nil="true"/>
    <lcf76f155ced4ddcb4097134ff3c332f xmlns="7a4cb0fe-d602-44bc-88c4-e7a6cbf991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9B938-5CEF-4159-9745-4B84C393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cb0fe-d602-44bc-88c4-e7a6cbf991db"/>
    <ds:schemaRef ds:uri="0984d298-55c0-4509-a612-aa31810bd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0982D-AF9F-4D43-AAEC-AD06F54D4A28}">
  <ds:schemaRefs>
    <ds:schemaRef ds:uri="http://schemas.microsoft.com/office/2006/metadata/properties"/>
    <ds:schemaRef ds:uri="http://schemas.microsoft.com/office/infopath/2007/PartnerControls"/>
    <ds:schemaRef ds:uri="0984d298-55c0-4509-a612-aa31810bdfad"/>
    <ds:schemaRef ds:uri="7a4cb0fe-d602-44bc-88c4-e7a6cbf991db"/>
  </ds:schemaRefs>
</ds:datastoreItem>
</file>

<file path=customXml/itemProps3.xml><?xml version="1.0" encoding="utf-8"?>
<ds:datastoreItem xmlns:ds="http://schemas.openxmlformats.org/officeDocument/2006/customXml" ds:itemID="{EEB8B3FD-2149-4B35-AC82-829E1A257A88}">
  <ds:schemaRefs>
    <ds:schemaRef ds:uri="http://schemas.openxmlformats.org/officeDocument/2006/bibliography"/>
  </ds:schemaRefs>
</ds:datastoreItem>
</file>

<file path=customXml/itemProps4.xml><?xml version="1.0" encoding="utf-8"?>
<ds:datastoreItem xmlns:ds="http://schemas.openxmlformats.org/officeDocument/2006/customXml" ds:itemID="{B75D1F00-4843-4D99-B9CB-A15F379DD356}">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L.Sands@surrey.ac.uk</dc:creator>
  <cp:keywords/>
  <cp:lastModifiedBy>Sands, Laura (Admissions)</cp:lastModifiedBy>
  <cp:revision>6</cp:revision>
  <cp:lastPrinted>2019-09-16T08:52:00Z</cp:lastPrinted>
  <dcterms:created xsi:type="dcterms:W3CDTF">2022-09-26T10:47:00Z</dcterms:created>
  <dcterms:modified xsi:type="dcterms:W3CDTF">2022-10-04T16:38:00Z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0x010100AD660320B8979F42A473BAE45E0DD30B</vt:lpwstr>
  </property>
  <property fmtid="{D5CDD505-2E9C-101B-9397-08002B2CF9AE}" pid="3" name="MediaServiceImageTags">
    <vt:lpwstr/>
  </property>
</Properties>
</file>