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DC9" w14:textId="77777777" w:rsidR="00A33049" w:rsidRPr="00C15765" w:rsidRDefault="00A33049" w:rsidP="00A33049">
      <w:pPr>
        <w:ind w:left="2160"/>
        <w:jc w:val="center"/>
        <w:rPr>
          <w:b/>
          <w:bCs/>
        </w:rPr>
      </w:pPr>
      <w:r w:rsidRPr="00C15765">
        <w:rPr>
          <w:b/>
          <w:bCs/>
        </w:rPr>
        <w:t>Work and life: the relative importance of job quality for general well-being, and implications for social surveys</w:t>
      </w:r>
    </w:p>
    <w:p w14:paraId="4223C234" w14:textId="77777777" w:rsidR="00A33049" w:rsidRDefault="00A33049" w:rsidP="00A33049">
      <w:pPr>
        <w:ind w:left="2160"/>
        <w:jc w:val="center"/>
      </w:pPr>
      <w:hyperlink r:id="rId6" w:history="1">
        <w:r w:rsidRPr="00C15765">
          <w:rPr>
            <w:rStyle w:val="Hyperlink"/>
          </w:rPr>
          <w:t>Francis Green</w:t>
        </w:r>
      </w:hyperlink>
      <w:r w:rsidRPr="00C15765">
        <w:t>, </w:t>
      </w:r>
      <w:hyperlink r:id="rId7" w:history="1">
        <w:r w:rsidRPr="00C15765">
          <w:rPr>
            <w:rStyle w:val="Hyperlink"/>
          </w:rPr>
          <w:t>Sangwoo Lee</w:t>
        </w:r>
      </w:hyperlink>
      <w:r w:rsidRPr="00C15765">
        <w:t>, </w:t>
      </w:r>
      <w:hyperlink r:id="rId8" w:history="1">
        <w:r w:rsidRPr="00C15765">
          <w:rPr>
            <w:rStyle w:val="Hyperlink"/>
          </w:rPr>
          <w:t>Min Zou</w:t>
        </w:r>
      </w:hyperlink>
      <w:r w:rsidRPr="00C15765">
        <w:t>, </w:t>
      </w:r>
      <w:hyperlink r:id="rId9" w:history="1">
        <w:r w:rsidRPr="00C15765">
          <w:rPr>
            <w:rStyle w:val="Hyperlink"/>
          </w:rPr>
          <w:t>Ying Zhou</w:t>
        </w:r>
      </w:hyperlink>
    </w:p>
    <w:p w14:paraId="70DE28D8" w14:textId="77777777" w:rsidR="00A33049" w:rsidRPr="00C15765" w:rsidRDefault="00A33049" w:rsidP="00A33049">
      <w:pPr>
        <w:ind w:left="2160"/>
        <w:jc w:val="both"/>
      </w:pPr>
    </w:p>
    <w:p w14:paraId="15D1CC26" w14:textId="77777777" w:rsidR="00A33049" w:rsidRDefault="00A33049" w:rsidP="00A33049">
      <w:pPr>
        <w:ind w:left="2160"/>
        <w:jc w:val="both"/>
      </w:pPr>
      <w:r w:rsidRPr="00250BEC">
        <w:t>It is well-established that, compared with being unemployed, employment is advantageous for well-being, and not just because of the consequential gain in income. The loss of well-being associated with unemployment is found to be at least of a comparable magnitude to the losses resulting from many other major life setbacks (</w:t>
      </w:r>
      <w:hyperlink r:id="rId10" w:history="1">
        <w:r w:rsidRPr="00250BEC">
          <w:rPr>
            <w:rStyle w:val="Hyperlink"/>
          </w:rPr>
          <w:t>Clark and Oswald, 1994</w:t>
        </w:r>
      </w:hyperlink>
      <w:r w:rsidRPr="00250BEC">
        <w:t>; </w:t>
      </w:r>
      <w:hyperlink r:id="rId11" w:history="1">
        <w:r w:rsidRPr="00250BEC">
          <w:rPr>
            <w:rStyle w:val="Hyperlink"/>
          </w:rPr>
          <w:t>Zhou </w:t>
        </w:r>
        <w:r w:rsidRPr="00250BEC">
          <w:rPr>
            <w:rStyle w:val="Hyperlink"/>
            <w:i/>
            <w:iCs/>
          </w:rPr>
          <w:t>et al.</w:t>
        </w:r>
        <w:r w:rsidRPr="00250BEC">
          <w:rPr>
            <w:rStyle w:val="Hyperlink"/>
          </w:rPr>
          <w:t>, 2019</w:t>
        </w:r>
      </w:hyperlink>
      <w:r w:rsidRPr="00250BEC">
        <w:t>). Yet even though the effect of being employed could be expected to vary depending on a job’s quality, notwithstanding some notable exceptions (</w:t>
      </w:r>
      <w:hyperlink r:id="rId12" w:history="1">
        <w:r w:rsidRPr="00250BEC">
          <w:rPr>
            <w:rStyle w:val="Hyperlink"/>
          </w:rPr>
          <w:t>Clark </w:t>
        </w:r>
        <w:r w:rsidRPr="00250BEC">
          <w:rPr>
            <w:rStyle w:val="Hyperlink"/>
            <w:i/>
            <w:iCs/>
          </w:rPr>
          <w:t>et al.</w:t>
        </w:r>
        <w:r w:rsidRPr="00250BEC">
          <w:rPr>
            <w:rStyle w:val="Hyperlink"/>
          </w:rPr>
          <w:t>, 2018</w:t>
        </w:r>
      </w:hyperlink>
      <w:r w:rsidRPr="00250BEC">
        <w:t>; </w:t>
      </w:r>
      <w:hyperlink r:id="rId13" w:history="1">
        <w:r w:rsidRPr="00250BEC">
          <w:rPr>
            <w:rStyle w:val="Hyperlink"/>
          </w:rPr>
          <w:t>Viñas-Bardolet </w:t>
        </w:r>
        <w:r w:rsidRPr="00250BEC">
          <w:rPr>
            <w:rStyle w:val="Hyperlink"/>
            <w:i/>
            <w:iCs/>
          </w:rPr>
          <w:t>et al.</w:t>
        </w:r>
        <w:r w:rsidRPr="00250BEC">
          <w:rPr>
            <w:rStyle w:val="Hyperlink"/>
          </w:rPr>
          <w:t>, 2020</w:t>
        </w:r>
      </w:hyperlink>
      <w:r w:rsidRPr="00250BEC">
        <w:t xml:space="preserve">), the relative importance of job quality alongside other factors for general well-being has not been systematically considered within well-being scholarship or wider social science. </w:t>
      </w:r>
    </w:p>
    <w:p w14:paraId="2C919404" w14:textId="77777777" w:rsidR="00A33049" w:rsidRDefault="00A33049" w:rsidP="00A33049">
      <w:pPr>
        <w:ind w:left="2160"/>
        <w:jc w:val="both"/>
      </w:pPr>
      <w:r w:rsidRPr="00250BEC">
        <w:t>Key factors upon which attention has been focused include inter alia the associations of well-being with age, gender, marital status, parental status, education, income and health</w:t>
      </w:r>
      <w:r>
        <w:t xml:space="preserve">, </w:t>
      </w:r>
      <w:r w:rsidRPr="00250BEC">
        <w:t xml:space="preserve">but little research has been directed at understanding how such associations compare, in magnitude, with the links between job quality and well-being. Our aim in this article is to evaluate this relative importance across a range of countries. </w:t>
      </w:r>
      <w:r w:rsidRPr="003A1C2C">
        <w:t>We deploy 5 datasets, covering a total of 39 countries</w:t>
      </w:r>
      <w:r>
        <w:t>.</w:t>
      </w:r>
      <w:r w:rsidRPr="003A1C2C">
        <w:t xml:space="preserve"> The European Working Conditions Survey (EWCS) sampled employed people from all 28 EU member countries and a further 7 countries within Europe. It is the most detailed job quality survey in existence, with a questionnaire covering almost all job quality domains and many related items. The EWCS survey is also adopted by the Republic of Korea whose survey series dates from 2006, and most recently it is used in the USA for surveys in 2015 and 2018. We supplement these with job quality data for Britain from the 2017 Skills and Employment Survey (SES) and for Australia from the HILDA survey. </w:t>
      </w:r>
    </w:p>
    <w:p w14:paraId="67E8187F" w14:textId="77777777" w:rsidR="00A33049" w:rsidRPr="00863391" w:rsidRDefault="00A33049" w:rsidP="00A33049">
      <w:pPr>
        <w:ind w:left="2160"/>
        <w:jc w:val="both"/>
      </w:pPr>
      <w:r w:rsidRPr="00863391">
        <w:t>For the EWCS data, we utilized the job quality indices for each of the seven domains, as provided with the data. These indices were derived using the protocols described in detail in </w:t>
      </w:r>
      <w:hyperlink r:id="rId14" w:history="1">
        <w:r w:rsidRPr="00863391">
          <w:rPr>
            <w:rStyle w:val="Hyperlink"/>
          </w:rPr>
          <w:t>Eurofound (2012)</w:t>
        </w:r>
      </w:hyperlink>
      <w:r w:rsidRPr="00863391">
        <w:t xml:space="preserve">. The same protocols to generate job quality indices were applied by the authors to the Korean Working Conditions Survey (KWCS) and </w:t>
      </w:r>
      <w:r w:rsidRPr="00863391">
        <w:lastRenderedPageBreak/>
        <w:t xml:space="preserve">the American Working Conditions Survey (AWCS) data. For the SES data, 12 items that fell under any of the domains were entered separately </w:t>
      </w:r>
      <w:r>
        <w:t>and</w:t>
      </w:r>
      <w:r w:rsidRPr="00863391">
        <w:t xml:space="preserve"> </w:t>
      </w:r>
      <w:r>
        <w:t>f</w:t>
      </w:r>
      <w:r w:rsidRPr="00863391">
        <w:t>or the HILDA data, we constructed domain indices as the first principal component of items in each of the five domains for which data were available</w:t>
      </w:r>
      <w:r>
        <w:t xml:space="preserve"> plus</w:t>
      </w:r>
      <w:r w:rsidRPr="00863391">
        <w:t xml:space="preserve"> two items for person-job match in skills and working time</w:t>
      </w:r>
      <w:r>
        <w:t>.</w:t>
      </w:r>
    </w:p>
    <w:p w14:paraId="4E009F12" w14:textId="77777777" w:rsidR="00A33049" w:rsidRDefault="00A33049" w:rsidP="00A33049">
      <w:pPr>
        <w:ind w:left="2160"/>
        <w:jc w:val="both"/>
      </w:pPr>
      <w:r>
        <w:t xml:space="preserve">Drawing on these measures, we </w:t>
      </w:r>
      <w:r w:rsidRPr="00DB3CB9">
        <w:t>compare</w:t>
      </w:r>
      <w:r>
        <w:t>d</w:t>
      </w:r>
      <w:r w:rsidRPr="00DB3CB9">
        <w:t xml:space="preserve"> the effect sizes of job quality to those of other life domains</w:t>
      </w:r>
      <w:r>
        <w:t xml:space="preserve">. We found </w:t>
      </w:r>
      <w:r w:rsidRPr="00F45CEA">
        <w:t>three key results. First, job quality indicators account for substantially more of the variation in individuals’ well-being than do other life domains</w:t>
      </w:r>
      <w:r>
        <w:t xml:space="preserve"> (</w:t>
      </w:r>
      <w:r w:rsidRPr="00F716AB">
        <w:t>including education, gender, marital status, parental status, age or household income</w:t>
      </w:r>
      <w:r>
        <w:t>)</w:t>
      </w:r>
      <w:r w:rsidRPr="00F45CEA">
        <w:t>, except for self-perceived physical health conditions. Secondly, relatively large estimates of the effects of job quality on well-being have been found compared with estimates of the effects of other determinants in the life</w:t>
      </w:r>
      <w:r>
        <w:t xml:space="preserve"> </w:t>
      </w:r>
      <w:r w:rsidRPr="00F45CEA">
        <w:t>satisfaction literature. Thirdly, these findings have been consistently found across all countries and datasets we deployed, though are weaker for the datasets with fewer job quality items, namely the SES in Britain and HILDA in Australia.</w:t>
      </w:r>
    </w:p>
    <w:p w14:paraId="08E354B4" w14:textId="77777777" w:rsidR="00A33049" w:rsidRDefault="00A33049" w:rsidP="00A33049">
      <w:pPr>
        <w:ind w:left="2160"/>
        <w:jc w:val="both"/>
      </w:pPr>
      <w:r w:rsidRPr="00517C33">
        <w:t xml:space="preserve">This article contributes to the existing literature by providing geographically extensive and robust empirical evidence on the relative importance of job quality for individuals’ well-being outcomes, as compared with the influence of other life domains. </w:t>
      </w:r>
      <w:r w:rsidRPr="00F716AB">
        <w:t>The paper’s findings, alongside rising policy interest, support the allocation of a greater priority for job quality in general socio-economic and labour force surveys than hitherto.</w:t>
      </w:r>
      <w:r>
        <w:t xml:space="preserve"> </w:t>
      </w:r>
      <w:r w:rsidRPr="00BD6D4D">
        <w:t xml:space="preserve">With improved knowledge of the key features of jobs and of how job quality may be categorized, it is time for designers of general social surveys, panels, cohort studies and labour force surveys, the world over, to allocate significantly more resources (specifically, survey space) to measuring job quality for the majority of their adult respondents who are in work. </w:t>
      </w:r>
    </w:p>
    <w:p w14:paraId="143524BB" w14:textId="0543A8E9" w:rsidR="00A33049" w:rsidRPr="00A33049" w:rsidRDefault="00A33049" w:rsidP="00A33049">
      <w:pPr>
        <w:ind w:left="2160"/>
        <w:jc w:val="both"/>
        <w:rPr>
          <w:b/>
          <w:bCs/>
        </w:rPr>
      </w:pPr>
      <w:r w:rsidRPr="00A33049">
        <w:rPr>
          <w:b/>
          <w:bCs/>
        </w:rPr>
        <w:t>References</w:t>
      </w:r>
    </w:p>
    <w:p w14:paraId="7BBECEE3" w14:textId="77777777" w:rsidR="00A33049" w:rsidRPr="00F368DD" w:rsidRDefault="00A33049" w:rsidP="00A33049">
      <w:pPr>
        <w:ind w:left="2160"/>
        <w:jc w:val="both"/>
      </w:pPr>
      <w:r w:rsidRPr="00F368DD">
        <w:t>Green F, Lee S, Zou M, Zhou Y (2024) </w:t>
      </w:r>
      <w:hyperlink r:id="rId15" w:tgtFrame="_blank" w:history="1">
        <w:r w:rsidRPr="00F368DD">
          <w:rPr>
            <w:rStyle w:val="Hyperlink"/>
            <w:b/>
            <w:bCs/>
          </w:rPr>
          <w:t>Work and Life: the Relative Importance of Job Quality for General Well-being, and Implications for Social Surveys. Socio-Economic Review, 22(2), 835-857.</w:t>
        </w:r>
      </w:hyperlink>
    </w:p>
    <w:p w14:paraId="2DADB775" w14:textId="77777777" w:rsidR="00B419D7" w:rsidRDefault="00B419D7" w:rsidP="00A33049">
      <w:pPr>
        <w:ind w:left="2160"/>
      </w:pPr>
    </w:p>
    <w:sectPr w:rsidR="00B419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3672" w14:textId="77777777" w:rsidR="00C91236" w:rsidRDefault="00C91236" w:rsidP="00D67883">
      <w:r>
        <w:separator/>
      </w:r>
    </w:p>
  </w:endnote>
  <w:endnote w:type="continuationSeparator" w:id="0">
    <w:p w14:paraId="75D9543D" w14:textId="77777777" w:rsidR="00C91236" w:rsidRDefault="00C91236" w:rsidP="00D6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9A3D" w14:textId="77777777" w:rsidR="00D67883" w:rsidRDefault="00D6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E5A0" w14:textId="77777777" w:rsidR="00D67883" w:rsidRDefault="00D6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D16" w14:textId="77777777" w:rsidR="00D67883" w:rsidRDefault="00D6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FE79" w14:textId="77777777" w:rsidR="00C91236" w:rsidRDefault="00C91236" w:rsidP="00D67883">
      <w:r>
        <w:separator/>
      </w:r>
    </w:p>
  </w:footnote>
  <w:footnote w:type="continuationSeparator" w:id="0">
    <w:p w14:paraId="4B8A0B2F" w14:textId="77777777" w:rsidR="00C91236" w:rsidRDefault="00C91236" w:rsidP="00D6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77B4" w14:textId="56A5324E" w:rsidR="00D67883" w:rsidRDefault="00C91236">
    <w:pPr>
      <w:pStyle w:val="Header"/>
    </w:pPr>
    <w:r>
      <w:rPr>
        <w:noProof/>
      </w:rPr>
      <w:pict w14:anchorId="1A87B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7"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1526" w14:textId="6B581F96" w:rsidR="00D67883" w:rsidRDefault="00C91236">
    <w:pPr>
      <w:pStyle w:val="Header"/>
    </w:pPr>
    <w:r>
      <w:rPr>
        <w:noProof/>
      </w:rPr>
      <w:pict w14:anchorId="2EC0A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8" o:spid="_x0000_s1026" type="#_x0000_t75" alt=""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D33A" w14:textId="6C84CC9C" w:rsidR="00D67883" w:rsidRDefault="00C91236">
    <w:pPr>
      <w:pStyle w:val="Header"/>
    </w:pPr>
    <w:r>
      <w:rPr>
        <w:noProof/>
      </w:rPr>
      <w:pict w14:anchorId="3DAA7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6" o:spid="_x0000_s1025" type="#_x0000_t75" alt=""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83"/>
    <w:rsid w:val="001107C1"/>
    <w:rsid w:val="004059EA"/>
    <w:rsid w:val="00466E31"/>
    <w:rsid w:val="007D4928"/>
    <w:rsid w:val="00A33049"/>
    <w:rsid w:val="00AA0C15"/>
    <w:rsid w:val="00B419D7"/>
    <w:rsid w:val="00C514A7"/>
    <w:rsid w:val="00C91236"/>
    <w:rsid w:val="00D6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6EAEF"/>
  <w15:chartTrackingRefBased/>
  <w15:docId w15:val="{089D9E45-CE53-0045-98FC-4F71158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49"/>
    <w:pPr>
      <w:spacing w:after="160" w:line="278" w:lineRule="auto"/>
    </w:pPr>
    <w:rPr>
      <w:rFonts w:eastAsiaTheme="minorEastAsia"/>
      <w:lang w:eastAsia="zh-CN"/>
    </w:rPr>
  </w:style>
  <w:style w:type="paragraph" w:styleId="Heading1">
    <w:name w:val="heading 1"/>
    <w:basedOn w:val="Normal"/>
    <w:next w:val="Normal"/>
    <w:link w:val="Heading1Char"/>
    <w:uiPriority w:val="9"/>
    <w:qFormat/>
    <w:rsid w:val="00D6788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D6788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67883"/>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67883"/>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D67883"/>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D67883"/>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D67883"/>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D67883"/>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D67883"/>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883"/>
    <w:rPr>
      <w:rFonts w:eastAsiaTheme="majorEastAsia" w:cstheme="majorBidi"/>
      <w:color w:val="272727" w:themeColor="text1" w:themeTint="D8"/>
    </w:rPr>
  </w:style>
  <w:style w:type="paragraph" w:styleId="Title">
    <w:name w:val="Title"/>
    <w:basedOn w:val="Normal"/>
    <w:next w:val="Normal"/>
    <w:link w:val="TitleChar"/>
    <w:uiPriority w:val="10"/>
    <w:qFormat/>
    <w:rsid w:val="00D6788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6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883"/>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6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883"/>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D67883"/>
    <w:rPr>
      <w:i/>
      <w:iCs/>
      <w:color w:val="404040" w:themeColor="text1" w:themeTint="BF"/>
    </w:rPr>
  </w:style>
  <w:style w:type="paragraph" w:styleId="ListParagraph">
    <w:name w:val="List Paragraph"/>
    <w:basedOn w:val="Normal"/>
    <w:uiPriority w:val="34"/>
    <w:qFormat/>
    <w:rsid w:val="00D67883"/>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D67883"/>
    <w:rPr>
      <w:i/>
      <w:iCs/>
      <w:color w:val="0F4761" w:themeColor="accent1" w:themeShade="BF"/>
    </w:rPr>
  </w:style>
  <w:style w:type="paragraph" w:styleId="IntenseQuote">
    <w:name w:val="Intense Quote"/>
    <w:basedOn w:val="Normal"/>
    <w:next w:val="Normal"/>
    <w:link w:val="IntenseQuoteChar"/>
    <w:uiPriority w:val="30"/>
    <w:qFormat/>
    <w:rsid w:val="00D6788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D67883"/>
    <w:rPr>
      <w:i/>
      <w:iCs/>
      <w:color w:val="0F4761" w:themeColor="accent1" w:themeShade="BF"/>
    </w:rPr>
  </w:style>
  <w:style w:type="character" w:styleId="IntenseReference">
    <w:name w:val="Intense Reference"/>
    <w:basedOn w:val="DefaultParagraphFont"/>
    <w:uiPriority w:val="32"/>
    <w:qFormat/>
    <w:rsid w:val="00D67883"/>
    <w:rPr>
      <w:b/>
      <w:bCs/>
      <w:smallCaps/>
      <w:color w:val="0F4761" w:themeColor="accent1" w:themeShade="BF"/>
      <w:spacing w:val="5"/>
    </w:rPr>
  </w:style>
  <w:style w:type="paragraph" w:styleId="Header">
    <w:name w:val="header"/>
    <w:basedOn w:val="Normal"/>
    <w:link w:val="HeaderChar"/>
    <w:uiPriority w:val="99"/>
    <w:unhideWhenUsed/>
    <w:rsid w:val="00D67883"/>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D67883"/>
  </w:style>
  <w:style w:type="paragraph" w:styleId="Footer">
    <w:name w:val="footer"/>
    <w:basedOn w:val="Normal"/>
    <w:link w:val="FooterChar"/>
    <w:uiPriority w:val="99"/>
    <w:unhideWhenUsed/>
    <w:rsid w:val="00D67883"/>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D67883"/>
  </w:style>
  <w:style w:type="character" w:styleId="Hyperlink">
    <w:name w:val="Hyperlink"/>
    <w:basedOn w:val="DefaultParagraphFont"/>
    <w:uiPriority w:val="99"/>
    <w:unhideWhenUsed/>
    <w:rsid w:val="00A330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endnotes" Target="endnotes.xml"/><Relationship Id="rId15" Type="http://schemas.openxmlformats.org/officeDocument/2006/relationships/hyperlink" Target="https://academic.oup.com/ser/advance-article/doi/10.1093/ser/mwae002/7613879?rss=1" TargetMode="Externa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4094</Characters>
  <Application>Microsoft Office Word</Application>
  <DocSecurity>4</DocSecurity>
  <Lines>83</Lines>
  <Paragraphs>10</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Tessa (Marketing)</dc:creator>
  <cp:keywords/>
  <dc:description/>
  <cp:lastModifiedBy>Korobov, Sasha (PG/R - Surrey Business Schl)</cp:lastModifiedBy>
  <cp:revision>2</cp:revision>
  <cp:lastPrinted>2024-05-29T13:46:00Z</cp:lastPrinted>
  <dcterms:created xsi:type="dcterms:W3CDTF">2025-11-28T12:19:00Z</dcterms:created>
  <dcterms:modified xsi:type="dcterms:W3CDTF">2025-11-28T12:19:00Z</dcterms:modified>
</cp:coreProperties>
</file>