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866C" w14:textId="350420ED" w:rsidR="0007762C" w:rsidRPr="0007762C" w:rsidRDefault="0007762C" w:rsidP="0007762C"/>
    <w:p w14:paraId="09386196" w14:textId="42CE81BF" w:rsidR="00D018C0" w:rsidRDefault="00E355E1" w:rsidP="0007762C">
      <w:pPr>
        <w:rPr>
          <w:b/>
          <w:bCs/>
        </w:rPr>
      </w:pPr>
      <w:r w:rsidRPr="00E355E1">
        <w:rPr>
          <w:b/>
          <w:bCs/>
          <w:noProof/>
        </w:rPr>
        <mc:AlternateContent>
          <mc:Choice Requires="wps">
            <w:drawing>
              <wp:inline distT="0" distB="0" distL="0" distR="0" wp14:anchorId="29FDB56C" wp14:editId="29B56409">
                <wp:extent cx="304800" cy="304800"/>
                <wp:effectExtent l="0" t="0" r="0" b="0"/>
                <wp:docPr id="13607400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BC21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E355E1">
        <w:t xml:space="preserve"> </w:t>
      </w:r>
      <w:r>
        <w:rPr>
          <w:noProof/>
        </w:rPr>
        <mc:AlternateContent>
          <mc:Choice Requires="wps">
            <w:drawing>
              <wp:inline distT="0" distB="0" distL="0" distR="0" wp14:anchorId="6B396479" wp14:editId="7CF0BD01">
                <wp:extent cx="304800" cy="304800"/>
                <wp:effectExtent l="0" t="0" r="0" b="0"/>
                <wp:docPr id="113016956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ECBC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2F2A20">
        <w:rPr>
          <w:b/>
          <w:bCs/>
          <w:noProof/>
        </w:rPr>
        <w:drawing>
          <wp:inline distT="0" distB="0" distL="0" distR="0" wp14:anchorId="1FD4F130" wp14:editId="7423DF16">
            <wp:extent cx="1085850" cy="1121355"/>
            <wp:effectExtent l="0" t="0" r="0" b="3175"/>
            <wp:docPr id="913539283" name="Picture 1" descr="A logo of a university of surr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9283" name="Picture 1" descr="A logo of a university of surre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991" cy="1126664"/>
                    </a:xfrm>
                    <a:prstGeom prst="rect">
                      <a:avLst/>
                    </a:prstGeom>
                    <a:noFill/>
                  </pic:spPr>
                </pic:pic>
              </a:graphicData>
            </a:graphic>
          </wp:inline>
        </w:drawing>
      </w:r>
      <w:r w:rsidR="009A7A5F">
        <w:tab/>
      </w:r>
      <w:r w:rsidR="009A7A5F">
        <w:tab/>
      </w:r>
      <w:r w:rsidR="009A7A5F">
        <w:tab/>
      </w:r>
      <w:r w:rsidR="009A7A5F">
        <w:tab/>
      </w:r>
      <w:r w:rsidR="009A7A5F">
        <w:tab/>
      </w:r>
      <w:r w:rsidR="002F2A20">
        <w:rPr>
          <w:noProof/>
        </w:rPr>
        <w:drawing>
          <wp:inline distT="0" distB="0" distL="0" distR="0" wp14:anchorId="556B88F1" wp14:editId="524CF6EF">
            <wp:extent cx="1819275" cy="1102386"/>
            <wp:effectExtent l="0" t="0" r="0" b="2540"/>
            <wp:docPr id="136328465"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8465" name="Picture 6" descr="A logo for a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2775" cy="1110566"/>
                    </a:xfrm>
                    <a:prstGeom prst="rect">
                      <a:avLst/>
                    </a:prstGeom>
                    <a:noFill/>
                  </pic:spPr>
                </pic:pic>
              </a:graphicData>
            </a:graphic>
          </wp:inline>
        </w:drawing>
      </w:r>
      <w:r w:rsidR="009A7A5F">
        <w:tab/>
      </w:r>
      <w:r w:rsidR="00136DE5">
        <w:rPr>
          <w:noProof/>
        </w:rPr>
        <mc:AlternateContent>
          <mc:Choice Requires="wps">
            <w:drawing>
              <wp:inline distT="0" distB="0" distL="0" distR="0" wp14:anchorId="2F6FD1AD" wp14:editId="108F6851">
                <wp:extent cx="304800" cy="304800"/>
                <wp:effectExtent l="0" t="0" r="0" b="0"/>
                <wp:docPr id="74619764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v:rect id="Rectangle 4"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B2AB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AF409A" w:rsidRPr="00AF409A">
        <w:t xml:space="preserve"> </w:t>
      </w:r>
    </w:p>
    <w:p w14:paraId="6C577474" w14:textId="77777777" w:rsidR="00D018C0" w:rsidRDefault="00D018C0" w:rsidP="0007762C">
      <w:pPr>
        <w:rPr>
          <w:b/>
          <w:bCs/>
        </w:rPr>
      </w:pPr>
    </w:p>
    <w:p w14:paraId="3E512861" w14:textId="36F1C752" w:rsidR="00BC3041" w:rsidRPr="00281F64" w:rsidRDefault="0007762C" w:rsidP="006672F4">
      <w:pPr>
        <w:jc w:val="center"/>
        <w:rPr>
          <w:rFonts w:ascii="Arial" w:hAnsi="Arial" w:cs="Arial"/>
          <w:b/>
          <w:bCs/>
          <w:sz w:val="24"/>
          <w:szCs w:val="24"/>
        </w:rPr>
      </w:pPr>
      <w:r w:rsidRPr="00281F64">
        <w:rPr>
          <w:rFonts w:ascii="Arial" w:hAnsi="Arial" w:cs="Arial"/>
          <w:b/>
          <w:bCs/>
          <w:sz w:val="24"/>
          <w:szCs w:val="24"/>
        </w:rPr>
        <w:t>Preparatory Task</w:t>
      </w:r>
      <w:r w:rsidR="00121D23" w:rsidRPr="00281F64">
        <w:rPr>
          <w:rFonts w:ascii="Arial" w:hAnsi="Arial" w:cs="Arial"/>
          <w:b/>
          <w:bCs/>
          <w:sz w:val="24"/>
          <w:szCs w:val="24"/>
        </w:rPr>
        <w:t xml:space="preserve"> </w:t>
      </w:r>
      <w:r w:rsidR="006672F4" w:rsidRPr="00281F64">
        <w:rPr>
          <w:rFonts w:ascii="Arial" w:hAnsi="Arial" w:cs="Arial"/>
          <w:b/>
          <w:bCs/>
          <w:sz w:val="24"/>
          <w:szCs w:val="24"/>
        </w:rPr>
        <w:t>–</w:t>
      </w:r>
      <w:r w:rsidR="00121D23" w:rsidRPr="00281F64">
        <w:rPr>
          <w:rFonts w:ascii="Arial" w:hAnsi="Arial" w:cs="Arial"/>
          <w:b/>
          <w:bCs/>
          <w:sz w:val="24"/>
          <w:szCs w:val="24"/>
        </w:rPr>
        <w:t xml:space="preserve"> Advanced</w:t>
      </w:r>
      <w:r w:rsidR="006672F4" w:rsidRPr="00281F64">
        <w:rPr>
          <w:rFonts w:ascii="Arial" w:hAnsi="Arial" w:cs="Arial"/>
          <w:b/>
          <w:bCs/>
          <w:sz w:val="24"/>
          <w:szCs w:val="24"/>
        </w:rPr>
        <w:t xml:space="preserve"> Vascular Access and IV Therapy Module</w:t>
      </w:r>
    </w:p>
    <w:p w14:paraId="368A7DB4" w14:textId="77777777" w:rsidR="00BC3041" w:rsidRPr="00281F64" w:rsidRDefault="00BC3041" w:rsidP="0007762C">
      <w:pPr>
        <w:rPr>
          <w:rFonts w:ascii="Arial" w:hAnsi="Arial" w:cs="Arial"/>
          <w:b/>
          <w:bCs/>
          <w:sz w:val="24"/>
          <w:szCs w:val="24"/>
        </w:rPr>
      </w:pPr>
    </w:p>
    <w:p w14:paraId="49600209" w14:textId="77777777" w:rsidR="00281F64" w:rsidRPr="00735575" w:rsidRDefault="00F34462" w:rsidP="00F34462">
      <w:pPr>
        <w:jc w:val="both"/>
        <w:rPr>
          <w:rFonts w:ascii="Arial" w:hAnsi="Arial" w:cs="Arial"/>
          <w:b/>
          <w:bCs/>
          <w:sz w:val="24"/>
          <w:szCs w:val="24"/>
        </w:rPr>
      </w:pPr>
      <w:r w:rsidRPr="00735575">
        <w:rPr>
          <w:rFonts w:ascii="Arial" w:hAnsi="Arial" w:cs="Arial"/>
          <w:b/>
          <w:bCs/>
          <w:sz w:val="24"/>
          <w:szCs w:val="24"/>
        </w:rPr>
        <w:t>Preparatory task:  </w:t>
      </w:r>
    </w:p>
    <w:p w14:paraId="6A20BD6D" w14:textId="0754557B" w:rsidR="00F34462" w:rsidRPr="00281F64" w:rsidRDefault="00882DEB" w:rsidP="00F34462">
      <w:pPr>
        <w:jc w:val="both"/>
        <w:rPr>
          <w:rFonts w:ascii="Arial" w:hAnsi="Arial" w:cs="Arial"/>
          <w:sz w:val="24"/>
          <w:szCs w:val="24"/>
        </w:rPr>
      </w:pPr>
      <w:r w:rsidRPr="00281F64">
        <w:rPr>
          <w:rFonts w:ascii="Arial" w:hAnsi="Arial" w:cs="Arial"/>
          <w:sz w:val="24"/>
          <w:szCs w:val="24"/>
        </w:rPr>
        <w:t xml:space="preserve">Compile &amp; </w:t>
      </w:r>
      <w:r w:rsidR="00F825FC" w:rsidRPr="00281F64">
        <w:rPr>
          <w:rFonts w:ascii="Arial" w:hAnsi="Arial" w:cs="Arial"/>
          <w:sz w:val="24"/>
          <w:szCs w:val="24"/>
        </w:rPr>
        <w:t>maintain a</w:t>
      </w:r>
      <w:r w:rsidR="001D2CD9" w:rsidRPr="00281F64">
        <w:rPr>
          <w:rFonts w:ascii="Arial" w:hAnsi="Arial" w:cs="Arial"/>
          <w:sz w:val="24"/>
          <w:szCs w:val="24"/>
        </w:rPr>
        <w:t xml:space="preserve"> brief practice logbook</w:t>
      </w:r>
      <w:r w:rsidR="00F34462" w:rsidRPr="00281F64">
        <w:rPr>
          <w:rFonts w:ascii="Arial" w:hAnsi="Arial" w:cs="Arial"/>
          <w:sz w:val="24"/>
          <w:szCs w:val="24"/>
        </w:rPr>
        <w:t xml:space="preserve"> in the weeks running up to the taught week.</w:t>
      </w:r>
    </w:p>
    <w:p w14:paraId="5DFB9DFA" w14:textId="53A14C0C" w:rsidR="00974050" w:rsidRPr="00281F64" w:rsidRDefault="00974050" w:rsidP="00974050">
      <w:pPr>
        <w:rPr>
          <w:rFonts w:ascii="Arial" w:hAnsi="Arial" w:cs="Arial"/>
          <w:b/>
          <w:bCs/>
          <w:sz w:val="24"/>
          <w:szCs w:val="24"/>
        </w:rPr>
      </w:pPr>
    </w:p>
    <w:p w14:paraId="258A6C7E" w14:textId="77777777" w:rsidR="006D012F" w:rsidRPr="00281F64" w:rsidRDefault="00974050" w:rsidP="00974050">
      <w:pPr>
        <w:rPr>
          <w:rFonts w:ascii="Arial" w:hAnsi="Arial" w:cs="Arial"/>
          <w:sz w:val="24"/>
          <w:szCs w:val="24"/>
        </w:rPr>
      </w:pPr>
      <w:r w:rsidRPr="00281F64">
        <w:rPr>
          <w:rFonts w:ascii="Arial" w:hAnsi="Arial" w:cs="Arial"/>
          <w:sz w:val="24"/>
          <w:szCs w:val="24"/>
        </w:rPr>
        <w:t xml:space="preserve">In preparation for the taught component of the </w:t>
      </w:r>
      <w:r w:rsidRPr="00281F64">
        <w:rPr>
          <w:rFonts w:ascii="Arial" w:hAnsi="Arial" w:cs="Arial"/>
          <w:b/>
          <w:bCs/>
          <w:sz w:val="24"/>
          <w:szCs w:val="24"/>
        </w:rPr>
        <w:t>Advanced Vascular Access &amp; IV Therapy</w:t>
      </w:r>
      <w:r w:rsidRPr="00281F64">
        <w:rPr>
          <w:rFonts w:ascii="Arial" w:hAnsi="Arial" w:cs="Arial"/>
          <w:sz w:val="24"/>
          <w:szCs w:val="24"/>
        </w:rPr>
        <w:t xml:space="preserve"> module, you are required to maintain an informal </w:t>
      </w:r>
      <w:r w:rsidRPr="00281F64">
        <w:rPr>
          <w:rFonts w:ascii="Arial" w:hAnsi="Arial" w:cs="Arial"/>
          <w:b/>
          <w:bCs/>
          <w:sz w:val="24"/>
          <w:szCs w:val="24"/>
        </w:rPr>
        <w:t>practice logbook</w:t>
      </w:r>
      <w:r w:rsidRPr="00281F64">
        <w:rPr>
          <w:rFonts w:ascii="Arial" w:hAnsi="Arial" w:cs="Arial"/>
          <w:sz w:val="24"/>
          <w:szCs w:val="24"/>
        </w:rPr>
        <w:t xml:space="preserve"> in the weeks leading up to the taught week. </w:t>
      </w:r>
    </w:p>
    <w:p w14:paraId="19C2737F" w14:textId="23AFCF14" w:rsidR="00B77D40" w:rsidRPr="00281F64" w:rsidRDefault="00B77D40" w:rsidP="00974050">
      <w:pPr>
        <w:rPr>
          <w:rFonts w:ascii="Arial" w:hAnsi="Arial" w:cs="Arial"/>
          <w:sz w:val="24"/>
          <w:szCs w:val="24"/>
        </w:rPr>
      </w:pPr>
      <w:r w:rsidRPr="00735575">
        <w:rPr>
          <w:rFonts w:ascii="Arial" w:hAnsi="Arial" w:cs="Arial"/>
          <w:sz w:val="24"/>
          <w:szCs w:val="24"/>
        </w:rPr>
        <w:t>Purpose:</w:t>
      </w:r>
      <w:r w:rsidRPr="00735575">
        <w:rPr>
          <w:rFonts w:ascii="Arial" w:hAnsi="Arial" w:cs="Arial"/>
          <w:sz w:val="24"/>
          <w:szCs w:val="24"/>
        </w:rPr>
        <w:br/>
      </w:r>
      <w:r w:rsidRPr="00281F64">
        <w:rPr>
          <w:rFonts w:ascii="Arial" w:hAnsi="Arial" w:cs="Arial"/>
          <w:sz w:val="24"/>
          <w:szCs w:val="24"/>
        </w:rPr>
        <w:t>To support meaningful engagement with the module by connecting theor</w:t>
      </w:r>
      <w:r w:rsidR="00651032" w:rsidRPr="00281F64">
        <w:rPr>
          <w:rFonts w:ascii="Arial" w:hAnsi="Arial" w:cs="Arial"/>
          <w:sz w:val="24"/>
          <w:szCs w:val="24"/>
        </w:rPr>
        <w:t xml:space="preserve">etical content and </w:t>
      </w:r>
      <w:r w:rsidRPr="00281F64">
        <w:rPr>
          <w:rFonts w:ascii="Arial" w:hAnsi="Arial" w:cs="Arial"/>
          <w:sz w:val="24"/>
          <w:szCs w:val="24"/>
        </w:rPr>
        <w:t>your day-to-day practice as an Advanced Nurse Practitioner</w:t>
      </w:r>
    </w:p>
    <w:p w14:paraId="0F89604C" w14:textId="50E49099" w:rsidR="00C70374" w:rsidRPr="00281F64" w:rsidRDefault="00974050" w:rsidP="00974050">
      <w:pPr>
        <w:rPr>
          <w:rFonts w:ascii="Arial" w:hAnsi="Arial" w:cs="Arial"/>
          <w:sz w:val="24"/>
          <w:szCs w:val="24"/>
        </w:rPr>
      </w:pPr>
      <w:r w:rsidRPr="21CB43DD">
        <w:rPr>
          <w:rFonts w:ascii="Arial" w:hAnsi="Arial" w:cs="Arial"/>
          <w:sz w:val="24"/>
          <w:szCs w:val="24"/>
        </w:rPr>
        <w:t xml:space="preserve">Within your logbook, record </w:t>
      </w:r>
      <w:r w:rsidR="13C6BD4B" w:rsidRPr="21CB43DD">
        <w:rPr>
          <w:rFonts w:ascii="Arial" w:hAnsi="Arial" w:cs="Arial"/>
          <w:sz w:val="24"/>
          <w:szCs w:val="24"/>
        </w:rPr>
        <w:t>learning orientated</w:t>
      </w:r>
      <w:r w:rsidRPr="21CB43DD">
        <w:rPr>
          <w:rFonts w:ascii="Arial" w:hAnsi="Arial" w:cs="Arial"/>
          <w:sz w:val="24"/>
          <w:szCs w:val="24"/>
        </w:rPr>
        <w:t xml:space="preserve"> clinical and educational episodes relevant to advanced vascular access and IV therapy. </w:t>
      </w:r>
    </w:p>
    <w:p w14:paraId="27149F6D" w14:textId="255D8378" w:rsidR="00974050" w:rsidRPr="00281F64" w:rsidRDefault="00974050" w:rsidP="00974050">
      <w:pPr>
        <w:rPr>
          <w:rFonts w:ascii="Arial" w:hAnsi="Arial" w:cs="Arial"/>
          <w:sz w:val="24"/>
          <w:szCs w:val="24"/>
        </w:rPr>
      </w:pPr>
      <w:r w:rsidRPr="00281F64">
        <w:rPr>
          <w:rFonts w:ascii="Arial" w:hAnsi="Arial" w:cs="Arial"/>
          <w:sz w:val="24"/>
          <w:szCs w:val="24"/>
        </w:rPr>
        <w:t>These may include, but are not limited to:</w:t>
      </w:r>
    </w:p>
    <w:p w14:paraId="5D34ED0A" w14:textId="77777777" w:rsidR="00974050" w:rsidRPr="00281F64" w:rsidRDefault="00974050" w:rsidP="00974050">
      <w:pPr>
        <w:numPr>
          <w:ilvl w:val="0"/>
          <w:numId w:val="2"/>
        </w:numPr>
        <w:rPr>
          <w:rFonts w:ascii="Arial" w:hAnsi="Arial" w:cs="Arial"/>
          <w:sz w:val="24"/>
          <w:szCs w:val="24"/>
        </w:rPr>
      </w:pPr>
      <w:r w:rsidRPr="00281F64">
        <w:rPr>
          <w:rFonts w:ascii="Arial" w:hAnsi="Arial" w:cs="Arial"/>
          <w:sz w:val="24"/>
          <w:szCs w:val="24"/>
        </w:rPr>
        <w:t>Assessment, insertion, and management of vascular access devices (e.g. PIVCs, midlines, PICCs, CVADs)</w:t>
      </w:r>
    </w:p>
    <w:p w14:paraId="52768DAC" w14:textId="5BD43C3D" w:rsidR="00974050" w:rsidRPr="00281F64" w:rsidRDefault="00974050" w:rsidP="00974050">
      <w:pPr>
        <w:numPr>
          <w:ilvl w:val="0"/>
          <w:numId w:val="2"/>
        </w:numPr>
        <w:rPr>
          <w:rFonts w:ascii="Arial" w:hAnsi="Arial" w:cs="Arial"/>
          <w:sz w:val="24"/>
          <w:szCs w:val="24"/>
        </w:rPr>
      </w:pPr>
      <w:r w:rsidRPr="21CB43DD">
        <w:rPr>
          <w:rFonts w:ascii="Arial" w:hAnsi="Arial" w:cs="Arial"/>
          <w:sz w:val="24"/>
          <w:szCs w:val="24"/>
        </w:rPr>
        <w:t xml:space="preserve">Use of advanced techniques such as </w:t>
      </w:r>
      <w:r w:rsidR="569C3A65" w:rsidRPr="21CB43DD">
        <w:rPr>
          <w:rFonts w:ascii="Arial" w:hAnsi="Arial" w:cs="Arial"/>
          <w:sz w:val="24"/>
          <w:szCs w:val="24"/>
        </w:rPr>
        <w:t>ultrasound guided</w:t>
      </w:r>
      <w:r w:rsidRPr="21CB43DD">
        <w:rPr>
          <w:rFonts w:ascii="Arial" w:hAnsi="Arial" w:cs="Arial"/>
          <w:sz w:val="24"/>
          <w:szCs w:val="24"/>
        </w:rPr>
        <w:t xml:space="preserve"> cannulation and intracavitary ECG tip confirmation</w:t>
      </w:r>
    </w:p>
    <w:p w14:paraId="2925CEAF" w14:textId="77777777" w:rsidR="00974050" w:rsidRPr="00281F64" w:rsidRDefault="00974050" w:rsidP="00974050">
      <w:pPr>
        <w:numPr>
          <w:ilvl w:val="0"/>
          <w:numId w:val="2"/>
        </w:numPr>
        <w:rPr>
          <w:rFonts w:ascii="Arial" w:hAnsi="Arial" w:cs="Arial"/>
          <w:sz w:val="24"/>
          <w:szCs w:val="24"/>
        </w:rPr>
      </w:pPr>
      <w:r w:rsidRPr="00281F64">
        <w:rPr>
          <w:rFonts w:ascii="Arial" w:hAnsi="Arial" w:cs="Arial"/>
          <w:sz w:val="24"/>
          <w:szCs w:val="24"/>
        </w:rPr>
        <w:t>Supervised or independent clinical practice</w:t>
      </w:r>
    </w:p>
    <w:p w14:paraId="2A76E931" w14:textId="2313A301" w:rsidR="00974050" w:rsidRPr="00281F64" w:rsidRDefault="00974050" w:rsidP="00974050">
      <w:pPr>
        <w:numPr>
          <w:ilvl w:val="0"/>
          <w:numId w:val="2"/>
        </w:numPr>
        <w:rPr>
          <w:rFonts w:ascii="Arial" w:hAnsi="Arial" w:cs="Arial"/>
          <w:sz w:val="24"/>
          <w:szCs w:val="24"/>
        </w:rPr>
      </w:pPr>
      <w:r w:rsidRPr="21CB43DD">
        <w:rPr>
          <w:rFonts w:ascii="Arial" w:hAnsi="Arial" w:cs="Arial"/>
          <w:sz w:val="24"/>
          <w:szCs w:val="24"/>
        </w:rPr>
        <w:t xml:space="preserve">Complication management, troubleshooting, or </w:t>
      </w:r>
      <w:r w:rsidR="0B54331E" w:rsidRPr="21CB43DD">
        <w:rPr>
          <w:rFonts w:ascii="Arial" w:hAnsi="Arial" w:cs="Arial"/>
          <w:sz w:val="24"/>
          <w:szCs w:val="24"/>
        </w:rPr>
        <w:t>decision-making</w:t>
      </w:r>
      <w:r w:rsidRPr="21CB43DD">
        <w:rPr>
          <w:rFonts w:ascii="Arial" w:hAnsi="Arial" w:cs="Arial"/>
          <w:sz w:val="24"/>
          <w:szCs w:val="24"/>
        </w:rPr>
        <w:t xml:space="preserve"> related to vascular access</w:t>
      </w:r>
    </w:p>
    <w:p w14:paraId="2EDCB992" w14:textId="77777777" w:rsidR="00974050" w:rsidRPr="00281F64" w:rsidRDefault="00974050" w:rsidP="00974050">
      <w:pPr>
        <w:numPr>
          <w:ilvl w:val="0"/>
          <w:numId w:val="2"/>
        </w:numPr>
        <w:rPr>
          <w:rFonts w:ascii="Arial" w:hAnsi="Arial" w:cs="Arial"/>
          <w:sz w:val="24"/>
          <w:szCs w:val="24"/>
        </w:rPr>
      </w:pPr>
      <w:r w:rsidRPr="00281F64">
        <w:rPr>
          <w:rFonts w:ascii="Arial" w:hAnsi="Arial" w:cs="Arial"/>
          <w:sz w:val="24"/>
          <w:szCs w:val="24"/>
        </w:rPr>
        <w:t>Teaching, supervision, or coaching of others in vascular access or IV therapy</w:t>
      </w:r>
    </w:p>
    <w:p w14:paraId="6153AA0F" w14:textId="77777777" w:rsidR="00974050" w:rsidRPr="00281F64" w:rsidRDefault="00974050" w:rsidP="00974050">
      <w:pPr>
        <w:numPr>
          <w:ilvl w:val="0"/>
          <w:numId w:val="2"/>
        </w:numPr>
        <w:rPr>
          <w:rFonts w:ascii="Arial" w:hAnsi="Arial" w:cs="Arial"/>
          <w:sz w:val="24"/>
          <w:szCs w:val="24"/>
        </w:rPr>
      </w:pPr>
      <w:r w:rsidRPr="00281F64">
        <w:rPr>
          <w:rFonts w:ascii="Arial" w:hAnsi="Arial" w:cs="Arial"/>
          <w:sz w:val="24"/>
          <w:szCs w:val="24"/>
        </w:rPr>
        <w:t>Case discussions or debriefs undertaken with explicit learning intent</w:t>
      </w:r>
    </w:p>
    <w:p w14:paraId="37B51B6B" w14:textId="77777777" w:rsidR="00974050" w:rsidRPr="00281F64" w:rsidRDefault="00974050" w:rsidP="00974050">
      <w:pPr>
        <w:numPr>
          <w:ilvl w:val="0"/>
          <w:numId w:val="2"/>
        </w:numPr>
        <w:rPr>
          <w:rFonts w:ascii="Arial" w:hAnsi="Arial" w:cs="Arial"/>
          <w:sz w:val="24"/>
          <w:szCs w:val="24"/>
        </w:rPr>
      </w:pPr>
      <w:r w:rsidRPr="00281F64">
        <w:rPr>
          <w:rFonts w:ascii="Arial" w:hAnsi="Arial" w:cs="Arial"/>
          <w:sz w:val="24"/>
          <w:szCs w:val="24"/>
        </w:rPr>
        <w:t>Independent study relevant to vascular access and IV therapy (e.g. policies, guidelines, research literature, digital learning resources)</w:t>
      </w:r>
    </w:p>
    <w:p w14:paraId="39E9B322" w14:textId="77777777" w:rsidR="00974050" w:rsidRPr="00281F64" w:rsidRDefault="00974050" w:rsidP="00974050">
      <w:pPr>
        <w:rPr>
          <w:rFonts w:ascii="Arial" w:hAnsi="Arial" w:cs="Arial"/>
          <w:i/>
          <w:iCs/>
          <w:sz w:val="24"/>
          <w:szCs w:val="24"/>
        </w:rPr>
      </w:pPr>
      <w:r w:rsidRPr="00281F64">
        <w:rPr>
          <w:rFonts w:ascii="Arial" w:hAnsi="Arial" w:cs="Arial"/>
          <w:i/>
          <w:iCs/>
          <w:sz w:val="24"/>
          <w:szCs w:val="24"/>
        </w:rPr>
        <w:lastRenderedPageBreak/>
        <w:t>Entries are relevant whether you are participating as a learner, clinician, educator, or clinical supervisor.</w:t>
      </w:r>
    </w:p>
    <w:p w14:paraId="470AA0BD" w14:textId="22C6FEFD" w:rsidR="00C70374" w:rsidRPr="00281F64" w:rsidRDefault="00974050" w:rsidP="00974050">
      <w:pPr>
        <w:rPr>
          <w:rFonts w:ascii="Arial" w:hAnsi="Arial" w:cs="Arial"/>
          <w:sz w:val="24"/>
          <w:szCs w:val="24"/>
        </w:rPr>
      </w:pPr>
      <w:r w:rsidRPr="00281F64">
        <w:rPr>
          <w:rFonts w:ascii="Arial" w:hAnsi="Arial" w:cs="Arial"/>
          <w:sz w:val="24"/>
          <w:szCs w:val="24"/>
        </w:rPr>
        <w:t xml:space="preserve">The practice logbook is </w:t>
      </w:r>
      <w:r w:rsidRPr="00281F64">
        <w:rPr>
          <w:rFonts w:ascii="Arial" w:hAnsi="Arial" w:cs="Arial"/>
          <w:b/>
          <w:bCs/>
          <w:sz w:val="24"/>
          <w:szCs w:val="24"/>
        </w:rPr>
        <w:t>informal and developmental</w:t>
      </w:r>
      <w:r w:rsidRPr="00281F64">
        <w:rPr>
          <w:rFonts w:ascii="Arial" w:hAnsi="Arial" w:cs="Arial"/>
          <w:sz w:val="24"/>
          <w:szCs w:val="24"/>
        </w:rPr>
        <w:t xml:space="preserve"> and will </w:t>
      </w:r>
      <w:r w:rsidRPr="00281F64">
        <w:rPr>
          <w:rFonts w:ascii="Arial" w:hAnsi="Arial" w:cs="Arial"/>
          <w:b/>
          <w:bCs/>
          <w:sz w:val="24"/>
          <w:szCs w:val="24"/>
        </w:rPr>
        <w:t>not</w:t>
      </w:r>
      <w:r w:rsidRPr="00281F64">
        <w:rPr>
          <w:rFonts w:ascii="Arial" w:hAnsi="Arial" w:cs="Arial"/>
          <w:sz w:val="24"/>
          <w:szCs w:val="24"/>
        </w:rPr>
        <w:t xml:space="preserve"> be formally assessed</w:t>
      </w:r>
      <w:r w:rsidR="002F2A20" w:rsidRPr="00281F64">
        <w:rPr>
          <w:rFonts w:ascii="Arial" w:hAnsi="Arial" w:cs="Arial"/>
          <w:sz w:val="24"/>
          <w:szCs w:val="24"/>
        </w:rPr>
        <w:t xml:space="preserve"> but will support discussion and reflection during the taught week.</w:t>
      </w:r>
    </w:p>
    <w:p w14:paraId="558A0255" w14:textId="244004F3" w:rsidR="00974050" w:rsidRPr="00281F64" w:rsidRDefault="00974050" w:rsidP="00974050">
      <w:pPr>
        <w:rPr>
          <w:rFonts w:ascii="Arial" w:hAnsi="Arial" w:cs="Arial"/>
          <w:sz w:val="24"/>
          <w:szCs w:val="24"/>
        </w:rPr>
      </w:pPr>
      <w:r w:rsidRPr="00281F64">
        <w:rPr>
          <w:rFonts w:ascii="Arial" w:hAnsi="Arial" w:cs="Arial"/>
          <w:sz w:val="24"/>
          <w:szCs w:val="24"/>
        </w:rPr>
        <w:t>Entries may be concise and written in note form, using abbreviations where appropriate. However, you should aim to include sufficient detail to enable clear recall of each episode and to support meaningful reflection during the taught week.</w:t>
      </w:r>
    </w:p>
    <w:p w14:paraId="2A884EB2" w14:textId="77777777" w:rsidR="00974050" w:rsidRPr="00281F64" w:rsidRDefault="00974050" w:rsidP="00974050">
      <w:pPr>
        <w:rPr>
          <w:rFonts w:ascii="Arial" w:hAnsi="Arial" w:cs="Arial"/>
          <w:sz w:val="24"/>
          <w:szCs w:val="24"/>
        </w:rPr>
      </w:pPr>
      <w:r w:rsidRPr="00281F64">
        <w:rPr>
          <w:rFonts w:ascii="Arial" w:hAnsi="Arial" w:cs="Arial"/>
          <w:sz w:val="24"/>
          <w:szCs w:val="24"/>
        </w:rPr>
        <w:t>Where appropriate, you may wish to document:</w:t>
      </w:r>
    </w:p>
    <w:p w14:paraId="4A3FD802"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Date, time, and duration</w:t>
      </w:r>
    </w:p>
    <w:p w14:paraId="0E4E9A4C"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Clinical setting (e.g. ward, vascular access service, clinic, community, simulation suite)</w:t>
      </w:r>
    </w:p>
    <w:p w14:paraId="788219B7"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Individuals involved and their roles</w:t>
      </w:r>
    </w:p>
    <w:p w14:paraId="322185F4"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Learning or practice focus</w:t>
      </w:r>
    </w:p>
    <w:p w14:paraId="4B1CC0E0"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Learning modalities (e.g. observation, supervised practice, simulation, dialogue, instruction)</w:t>
      </w:r>
    </w:p>
    <w:p w14:paraId="2920260C"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Devices, techniques, or technology used</w:t>
      </w:r>
    </w:p>
    <w:p w14:paraId="51605793"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Key learning points, uncertainties, or challenges</w:t>
      </w:r>
    </w:p>
    <w:p w14:paraId="780C8B99" w14:textId="77777777" w:rsidR="00974050" w:rsidRPr="00281F64" w:rsidRDefault="00974050" w:rsidP="00974050">
      <w:pPr>
        <w:numPr>
          <w:ilvl w:val="0"/>
          <w:numId w:val="3"/>
        </w:numPr>
        <w:rPr>
          <w:rFonts w:ascii="Arial" w:hAnsi="Arial" w:cs="Arial"/>
          <w:sz w:val="24"/>
          <w:szCs w:val="24"/>
        </w:rPr>
      </w:pPr>
      <w:r w:rsidRPr="00281F64">
        <w:rPr>
          <w:rFonts w:ascii="Arial" w:hAnsi="Arial" w:cs="Arial"/>
          <w:sz w:val="24"/>
          <w:szCs w:val="24"/>
        </w:rPr>
        <w:t>Reflections on clinical effectiveness, patient safety, professional judgement, or learning impact</w:t>
      </w:r>
    </w:p>
    <w:p w14:paraId="14546DB0" w14:textId="77777777" w:rsidR="00974050" w:rsidRPr="00281F64" w:rsidRDefault="00974050" w:rsidP="00974050">
      <w:pPr>
        <w:rPr>
          <w:rFonts w:ascii="Arial" w:hAnsi="Arial" w:cs="Arial"/>
          <w:sz w:val="24"/>
          <w:szCs w:val="24"/>
        </w:rPr>
      </w:pPr>
      <w:r w:rsidRPr="00281F64">
        <w:rPr>
          <w:rFonts w:ascii="Arial" w:hAnsi="Arial" w:cs="Arial"/>
          <w:sz w:val="24"/>
          <w:szCs w:val="24"/>
        </w:rPr>
        <w:t>The logbook may be maintained in any format (e.g. electronic document, portfolio platform, notebook), provided it is easily accessible during the taught week.</w:t>
      </w:r>
    </w:p>
    <w:p w14:paraId="0600AB38" w14:textId="77777777" w:rsidR="00974050" w:rsidRPr="00281F64" w:rsidRDefault="00974050" w:rsidP="00974050">
      <w:pPr>
        <w:rPr>
          <w:rFonts w:ascii="Arial" w:hAnsi="Arial" w:cs="Arial"/>
          <w:sz w:val="24"/>
          <w:szCs w:val="24"/>
        </w:rPr>
      </w:pPr>
      <w:r w:rsidRPr="00281F64">
        <w:rPr>
          <w:rFonts w:ascii="Arial" w:hAnsi="Arial" w:cs="Arial"/>
          <w:sz w:val="24"/>
          <w:szCs w:val="24"/>
        </w:rPr>
        <w:t xml:space="preserve">Completion of </w:t>
      </w:r>
      <w:r w:rsidRPr="00281F64">
        <w:rPr>
          <w:rFonts w:ascii="Arial" w:hAnsi="Arial" w:cs="Arial"/>
          <w:b/>
          <w:bCs/>
          <w:sz w:val="24"/>
          <w:szCs w:val="24"/>
        </w:rPr>
        <w:t>three to four entries</w:t>
      </w:r>
      <w:r w:rsidRPr="00281F64">
        <w:rPr>
          <w:rFonts w:ascii="Arial" w:hAnsi="Arial" w:cs="Arial"/>
          <w:sz w:val="24"/>
          <w:szCs w:val="24"/>
        </w:rPr>
        <w:t xml:space="preserve"> will be sufficient for the purposes of the module; however, students are encouraged to record additional episodes to maximise reflective learning and engagement during taught sessions.</w:t>
      </w:r>
    </w:p>
    <w:sectPr w:rsidR="00974050" w:rsidRPr="00281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A03"/>
    <w:multiLevelType w:val="multilevel"/>
    <w:tmpl w:val="232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D60D3"/>
    <w:multiLevelType w:val="multilevel"/>
    <w:tmpl w:val="8D2E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6749D"/>
    <w:multiLevelType w:val="multilevel"/>
    <w:tmpl w:val="F682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40914"/>
    <w:multiLevelType w:val="multilevel"/>
    <w:tmpl w:val="FB7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614900">
    <w:abstractNumId w:val="1"/>
  </w:num>
  <w:num w:numId="2" w16cid:durableId="432438599">
    <w:abstractNumId w:val="2"/>
  </w:num>
  <w:num w:numId="3" w16cid:durableId="1261715833">
    <w:abstractNumId w:val="3"/>
  </w:num>
  <w:num w:numId="4" w16cid:durableId="47881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2C"/>
    <w:rsid w:val="000243AD"/>
    <w:rsid w:val="0007762C"/>
    <w:rsid w:val="00121D23"/>
    <w:rsid w:val="00136DE5"/>
    <w:rsid w:val="001527C4"/>
    <w:rsid w:val="00196F11"/>
    <w:rsid w:val="001C544A"/>
    <w:rsid w:val="001D2CD9"/>
    <w:rsid w:val="00281F64"/>
    <w:rsid w:val="002F2A20"/>
    <w:rsid w:val="0034617F"/>
    <w:rsid w:val="003D1262"/>
    <w:rsid w:val="0050386A"/>
    <w:rsid w:val="005239CB"/>
    <w:rsid w:val="00643D05"/>
    <w:rsid w:val="00651032"/>
    <w:rsid w:val="006672F4"/>
    <w:rsid w:val="00670E71"/>
    <w:rsid w:val="006D012F"/>
    <w:rsid w:val="0072734D"/>
    <w:rsid w:val="00735575"/>
    <w:rsid w:val="007D2448"/>
    <w:rsid w:val="00882DEB"/>
    <w:rsid w:val="00954399"/>
    <w:rsid w:val="00974050"/>
    <w:rsid w:val="009A7A5F"/>
    <w:rsid w:val="00A42C1B"/>
    <w:rsid w:val="00A552A2"/>
    <w:rsid w:val="00A95185"/>
    <w:rsid w:val="00AA23B4"/>
    <w:rsid w:val="00AF1A9D"/>
    <w:rsid w:val="00AF409A"/>
    <w:rsid w:val="00B45746"/>
    <w:rsid w:val="00B64DBD"/>
    <w:rsid w:val="00B77D40"/>
    <w:rsid w:val="00BC3041"/>
    <w:rsid w:val="00C70374"/>
    <w:rsid w:val="00C77E4E"/>
    <w:rsid w:val="00D018C0"/>
    <w:rsid w:val="00D37EE2"/>
    <w:rsid w:val="00E355E1"/>
    <w:rsid w:val="00F34462"/>
    <w:rsid w:val="00F825FC"/>
    <w:rsid w:val="0B54331E"/>
    <w:rsid w:val="13C6BD4B"/>
    <w:rsid w:val="21CB43DD"/>
    <w:rsid w:val="569C3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0BC3"/>
  <w15:chartTrackingRefBased/>
  <w15:docId w15:val="{0872BE35-84B8-48D2-BF3F-019DC173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62C"/>
    <w:rPr>
      <w:rFonts w:eastAsiaTheme="majorEastAsia" w:cstheme="majorBidi"/>
      <w:color w:val="272727" w:themeColor="text1" w:themeTint="D8"/>
    </w:rPr>
  </w:style>
  <w:style w:type="paragraph" w:styleId="Title">
    <w:name w:val="Title"/>
    <w:basedOn w:val="Normal"/>
    <w:next w:val="Normal"/>
    <w:link w:val="TitleChar"/>
    <w:uiPriority w:val="10"/>
    <w:qFormat/>
    <w:rsid w:val="00077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62C"/>
    <w:pPr>
      <w:spacing w:before="160"/>
      <w:jc w:val="center"/>
    </w:pPr>
    <w:rPr>
      <w:i/>
      <w:iCs/>
      <w:color w:val="404040" w:themeColor="text1" w:themeTint="BF"/>
    </w:rPr>
  </w:style>
  <w:style w:type="character" w:customStyle="1" w:styleId="QuoteChar">
    <w:name w:val="Quote Char"/>
    <w:basedOn w:val="DefaultParagraphFont"/>
    <w:link w:val="Quote"/>
    <w:uiPriority w:val="29"/>
    <w:rsid w:val="0007762C"/>
    <w:rPr>
      <w:i/>
      <w:iCs/>
      <w:color w:val="404040" w:themeColor="text1" w:themeTint="BF"/>
    </w:rPr>
  </w:style>
  <w:style w:type="paragraph" w:styleId="ListParagraph">
    <w:name w:val="List Paragraph"/>
    <w:basedOn w:val="Normal"/>
    <w:uiPriority w:val="34"/>
    <w:qFormat/>
    <w:rsid w:val="0007762C"/>
    <w:pPr>
      <w:ind w:left="720"/>
      <w:contextualSpacing/>
    </w:pPr>
  </w:style>
  <w:style w:type="character" w:styleId="IntenseEmphasis">
    <w:name w:val="Intense Emphasis"/>
    <w:basedOn w:val="DefaultParagraphFont"/>
    <w:uiPriority w:val="21"/>
    <w:qFormat/>
    <w:rsid w:val="0007762C"/>
    <w:rPr>
      <w:i/>
      <w:iCs/>
      <w:color w:val="0F4761" w:themeColor="accent1" w:themeShade="BF"/>
    </w:rPr>
  </w:style>
  <w:style w:type="paragraph" w:styleId="IntenseQuote">
    <w:name w:val="Intense Quote"/>
    <w:basedOn w:val="Normal"/>
    <w:next w:val="Normal"/>
    <w:link w:val="IntenseQuoteChar"/>
    <w:uiPriority w:val="30"/>
    <w:qFormat/>
    <w:rsid w:val="00077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62C"/>
    <w:rPr>
      <w:i/>
      <w:iCs/>
      <w:color w:val="0F4761" w:themeColor="accent1" w:themeShade="BF"/>
    </w:rPr>
  </w:style>
  <w:style w:type="character" w:styleId="IntenseReference">
    <w:name w:val="Intense Reference"/>
    <w:basedOn w:val="DefaultParagraphFont"/>
    <w:uiPriority w:val="32"/>
    <w:qFormat/>
    <w:rsid w:val="000776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457231F7B1042B7BB65695AE0967D" ma:contentTypeVersion="3" ma:contentTypeDescription="Create a new document." ma:contentTypeScope="" ma:versionID="04ccce3c4b5c41434318e34dbc94c201">
  <xsd:schema xmlns:xsd="http://www.w3.org/2001/XMLSchema" xmlns:xs="http://www.w3.org/2001/XMLSchema" xmlns:p="http://schemas.microsoft.com/office/2006/metadata/properties" xmlns:ns2="d9acaf01-8285-4658-bfc7-e39719ab3029" targetNamespace="http://schemas.microsoft.com/office/2006/metadata/properties" ma:root="true" ma:fieldsID="699c1ec82aee5e2d508fbfaa40cfba04" ns2:_="">
    <xsd:import namespace="d9acaf01-8285-4658-bfc7-e39719ab30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caf01-8285-4658-bfc7-e39719ab3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BD96F-0F7B-4C68-8071-E1DAC21D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caf01-8285-4658-bfc7-e39719ab3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2D8AC-750C-4E9A-AC67-331B24A2B0AF}">
  <ds:schemaRefs>
    <ds:schemaRef ds:uri="http://schemas.microsoft.com/sharepoint/v3/contenttype/forms"/>
  </ds:schemaRefs>
</ds:datastoreItem>
</file>

<file path=customXml/itemProps3.xml><?xml version="1.0" encoding="utf-8"?>
<ds:datastoreItem xmlns:ds="http://schemas.openxmlformats.org/officeDocument/2006/customXml" ds:itemID="{D1B6FDBE-BDFA-4F99-9E43-738F76F1D5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2351</Characters>
  <Application>Microsoft Office Word</Application>
  <DocSecurity>0</DocSecurity>
  <Lines>54</Lines>
  <Paragraphs>28</Paragraphs>
  <ScaleCrop>false</ScaleCrop>
  <Company>NHS Supply Chain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Guerrero</dc:creator>
  <cp:keywords/>
  <dc:description/>
  <cp:lastModifiedBy>Stobbart, Mark (Sch Health Sciences)</cp:lastModifiedBy>
  <cp:revision>37</cp:revision>
  <dcterms:created xsi:type="dcterms:W3CDTF">2026-01-09T12:59:00Z</dcterms:created>
  <dcterms:modified xsi:type="dcterms:W3CDTF">2026-01-12T09:50:00Z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0x010100AD3457231F7B1042B7BB65695AE0967D</vt:lpwstr>
  </property>
</Properties>
</file>