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5DAA" w14:textId="2DFECFEE" w:rsidR="00FE3F49" w:rsidRDefault="00FE3F49" w:rsidP="00FE3F49">
      <w:pPr>
        <w:pStyle w:val="Heading1"/>
        <w:spacing w:after="0"/>
        <w:jc w:val="center"/>
      </w:pPr>
      <w:r w:rsidRPr="00722BE6">
        <w:rPr>
          <w:rFonts w:eastAsiaTheme="minorHAnsi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4D8B50" wp14:editId="72F91CCE">
                <wp:simplePos x="0" y="0"/>
                <wp:positionH relativeFrom="column">
                  <wp:posOffset>-164465</wp:posOffset>
                </wp:positionH>
                <wp:positionV relativeFrom="paragraph">
                  <wp:posOffset>698500</wp:posOffset>
                </wp:positionV>
                <wp:extent cx="6305550" cy="313118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13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F5DA8" w14:textId="77777777" w:rsidR="00FE3F49" w:rsidRDefault="00FE3F49" w:rsidP="00FE3F49">
                            <w:pPr>
                              <w:spacing w:after="0"/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NB. </w:t>
                            </w:r>
                            <w:r w:rsidRPr="00835027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Before completing this form, please read the </w:t>
                            </w:r>
                            <w:hyperlink r:id="rId5" w:history="1">
                              <w:r w:rsidRPr="00835027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color w:val="0E2841" w:themeColor="text2"/>
                                  <w:sz w:val="18"/>
                                  <w:szCs w:val="18"/>
                                </w:rPr>
                                <w:t>Code of practice for academic partnerships</w:t>
                              </w:r>
                            </w:hyperlink>
                            <w:r w:rsidRPr="00835027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2357407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Prior to completing this form, you should have received approval from one of the following Faculty-level committees, depending on the partnership type:</w:t>
                            </w:r>
                          </w:p>
                          <w:p w14:paraId="37B11433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Faculty Education Committee</w:t>
                            </w:r>
                          </w:p>
                          <w:p w14:paraId="1F60B256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Faculty International Engagement Committee</w:t>
                            </w:r>
                          </w:p>
                          <w:p w14:paraId="5BA63D7F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Faculty Research Degrees Committee</w:t>
                            </w:r>
                          </w:p>
                          <w:p w14:paraId="64996C0B" w14:textId="28DA29BC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new proposals for a non-binding Memorandum of Understanding, a Memorandum of Agreement for collaboration with a new partner or a progression agreement, please contact</w:t>
                            </w:r>
                            <w:r w:rsidR="002C30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="002C30B4" w:rsidRPr="00F3409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intpartnerships@surrey.ac.uk</w:t>
                              </w:r>
                            </w:hyperlink>
                            <w:r w:rsidR="002C30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D2C679" w14:textId="6B781730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your proposal relates to a research contract type, please contact</w:t>
                            </w:r>
                            <w:r w:rsidR="002C30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RIS Legal Services.</w:t>
                            </w:r>
                          </w:p>
                          <w:p w14:paraId="6D15000C" w14:textId="7AE9EF94" w:rsidR="00FE3F49" w:rsidRPr="00334AE4" w:rsidRDefault="00572260" w:rsidP="00FE3F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22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set up a new Student Exchange agreement, the School </w:t>
                            </w:r>
                            <w:r w:rsidRPr="0057226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Mobility Lead/Exchange Coordinator will need submit an </w:t>
                            </w:r>
                            <w:hyperlink r:id="rId7" w:history="1">
                              <w:r w:rsidRPr="0057226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Initial Proposal Form for Exchange Agreements </w:t>
                              </w:r>
                            </w:hyperlink>
                            <w:r w:rsidRPr="0057226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and </w:t>
                            </w:r>
                            <w:r w:rsidRPr="005D15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Risk Assessment </w:t>
                            </w:r>
                            <w:r w:rsidRPr="0057226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to the International Engagement Office (IEO) for review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by the </w:t>
                            </w:r>
                            <w:hyperlink r:id="rId8" w:history="1">
                              <w:r w:rsidRPr="005D15E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International Mobility team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9AFC25F" w14:textId="40A173BD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your proposal relates to a UK partner, please contact </w:t>
                            </w:r>
                            <w:hyperlink r:id="rId9" w:history="1">
                              <w:r w:rsidRPr="00334AE4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qualitysupport@surrey.ac.uk</w:t>
                              </w:r>
                            </w:hyperlink>
                            <w:r w:rsidR="00C42A3A">
                              <w:t>.</w:t>
                            </w:r>
                          </w:p>
                          <w:p w14:paraId="64ED18AD" w14:textId="18E257D5" w:rsidR="00FE3F49" w:rsidRPr="00334AE4" w:rsidRDefault="00FE3F49" w:rsidP="00722B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new academic partnership proposals that are deemed </w:t>
                            </w:r>
                            <w:r w:rsidRPr="005D1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Medium or High Risk</w:t>
                            </w: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(see the diagram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below</w:t>
                            </w: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), please complete this form and submit all relevant documentation to the Head of Academic Policy and Governance </w:t>
                            </w:r>
                            <w:hyperlink r:id="rId10" w:history="1">
                              <w:r w:rsidRPr="0057226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Regulations@surrey.ac.uk</w:t>
                              </w:r>
                            </w:hyperlink>
                            <w:r w:rsidR="00722BE6">
                              <w:t xml:space="preserve">, </w:t>
                            </w:r>
                            <w:r w:rsidR="005722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copying </w:t>
                            </w:r>
                            <w:r w:rsidR="00572260" w:rsidRPr="002C30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 </w:t>
                            </w:r>
                            <w:hyperlink r:id="rId11" w:history="1">
                              <w:r w:rsidR="00572260" w:rsidRPr="002C30B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intpartnerships@surrey.ac.uk</w:t>
                              </w:r>
                            </w:hyperlink>
                            <w:r w:rsidR="005722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step is crucial as a prerequisite to the “Academic Due Diligence: Consideration of the proposal at the University level” stage of the approval process.</w:t>
                            </w:r>
                          </w:p>
                          <w:p w14:paraId="6C022647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Following the University’s consideration of this Form, you may also need to complete (the list is not exhaustive):</w:t>
                            </w:r>
                          </w:p>
                          <w:p w14:paraId="29836269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Curriculum mapping template</w:t>
                            </w:r>
                          </w:p>
                          <w:p w14:paraId="30633049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 visit template (where relevant)</w:t>
                            </w:r>
                          </w:p>
                          <w:p w14:paraId="684027B3" w14:textId="77777777" w:rsidR="00FE3F49" w:rsidRPr="00334AE4" w:rsidRDefault="00FE3F49" w:rsidP="00FE3F49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34AE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Fee reduction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8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95pt;margin-top:55pt;width:496.5pt;height:24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" strokeweight="0">
                <v:textbox>
                  <w:txbxContent>
                    <w:p w14:paraId="72BF5DA8" w14:textId="77777777" w:rsidR="00FE3F49" w:rsidRDefault="00FE3F49" w:rsidP="00FE3F49">
                      <w:pPr>
                        <w:spacing w:after="0"/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NB. </w:t>
                      </w:r>
                      <w:r w:rsidRPr="00835027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Before completing this form, please read the </w:t>
                      </w:r>
                      <w:hyperlink r:id="rId12" w:history="1">
                        <w:r w:rsidRPr="00835027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color w:val="0E2841" w:themeColor="text2"/>
                            <w:sz w:val="18"/>
                            <w:szCs w:val="18"/>
                          </w:rPr>
                          <w:t>Code of practice for academic partnerships</w:t>
                        </w:r>
                      </w:hyperlink>
                      <w:r w:rsidRPr="00835027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2357407" w14:textId="77777777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Prior to completing this form, you should have received approval from one of the following Faculty-level committees, depending on the partnership type:</w:t>
                      </w:r>
                    </w:p>
                    <w:p w14:paraId="37B11433" w14:textId="77777777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Faculty Education Committee</w:t>
                      </w:r>
                    </w:p>
                    <w:p w14:paraId="1F60B256" w14:textId="77777777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Faculty International Engagement Committee</w:t>
                      </w:r>
                    </w:p>
                    <w:p w14:paraId="5BA63D7F" w14:textId="77777777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Faculty Research Degrees Committee</w:t>
                      </w:r>
                    </w:p>
                    <w:p w14:paraId="64996C0B" w14:textId="28DA29BC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For new proposals for a non-binding Memorandum of Understanding, a Memorandum of Agreement for collaboration with a new partner or a progression agreement, please contact</w:t>
                      </w:r>
                      <w:r w:rsidR="002C30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13" w:history="1">
                        <w:r w:rsidR="002C30B4" w:rsidRPr="00F3409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intpartnerships@surrey.ac.uk</w:t>
                        </w:r>
                      </w:hyperlink>
                      <w:r w:rsidR="002C30B4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6CD2C679" w14:textId="6B781730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If your proposal relates to a research contract type, please contact</w:t>
                      </w:r>
                      <w:r w:rsidR="002C30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RIS Legal Services.</w:t>
                      </w:r>
                    </w:p>
                    <w:p w14:paraId="6D15000C" w14:textId="7AE9EF94" w:rsidR="00FE3F49" w:rsidRPr="00334AE4" w:rsidRDefault="00572260" w:rsidP="00FE3F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2260">
                        <w:rPr>
                          <w:rFonts w:ascii="Arial" w:hAnsi="Arial" w:cs="Arial"/>
                          <w:sz w:val="18"/>
                          <w:szCs w:val="18"/>
                        </w:rPr>
                        <w:t>To set up a new Student Exchange agreement, the School </w:t>
                      </w:r>
                      <w:r w:rsidRPr="0057226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Mobility Lead/Exchange Coordinator will need submit an </w:t>
                      </w:r>
                      <w:hyperlink r:id="rId14" w:history="1">
                        <w:r w:rsidRPr="0057226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Initial Proposal Form for Exchange Agreements </w:t>
                        </w:r>
                      </w:hyperlink>
                      <w:r w:rsidRPr="0057226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and </w:t>
                      </w:r>
                      <w:r w:rsidRPr="005D15E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Risk Assessment </w:t>
                      </w:r>
                      <w:r w:rsidRPr="0057226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to the International Engagement Office (IEO) for review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by the </w:t>
                      </w:r>
                      <w:hyperlink r:id="rId15" w:history="1">
                        <w:r w:rsidRPr="005D15E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International Mobility team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9AFC25F" w14:textId="40A173BD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your proposal relates to a UK partner, please contact </w:t>
                      </w:r>
                      <w:hyperlink r:id="rId16" w:history="1">
                        <w:r w:rsidRPr="00334AE4">
                          <w:rPr>
                            <w:rStyle w:val="Hyperlink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qualitysupport@surrey.ac.uk</w:t>
                        </w:r>
                      </w:hyperlink>
                      <w:r w:rsidR="00C42A3A">
                        <w:t>.</w:t>
                      </w:r>
                    </w:p>
                    <w:p w14:paraId="64ED18AD" w14:textId="18E257D5" w:rsidR="00FE3F49" w:rsidRPr="00334AE4" w:rsidRDefault="00FE3F49" w:rsidP="00722B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new academic partnership proposals that are deemed </w:t>
                      </w:r>
                      <w:r w:rsidRPr="005D1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Medium or High Risk</w:t>
                      </w: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(see the diagram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below</w:t>
                      </w: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), please complete this form and submit all relevant documentation to the Head of Academic Policy and Governance </w:t>
                      </w:r>
                      <w:hyperlink r:id="rId17" w:history="1">
                        <w:r w:rsidRPr="0057226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>Regulations@surrey.ac.uk</w:t>
                        </w:r>
                      </w:hyperlink>
                      <w:r w:rsidR="00722BE6">
                        <w:t xml:space="preserve">, </w:t>
                      </w:r>
                      <w:r w:rsidR="0057226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copying </w:t>
                      </w:r>
                      <w:r w:rsidR="00572260" w:rsidRPr="002C30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 </w:t>
                      </w:r>
                      <w:hyperlink r:id="rId18" w:history="1">
                        <w:r w:rsidR="00572260" w:rsidRPr="002C30B4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intpartnerships@surrey.ac.uk</w:t>
                        </w:r>
                      </w:hyperlink>
                      <w:r w:rsidR="0057226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This step is crucial as a prerequisite to the “Academic Due Diligence: Consideration of the proposal at the University level” stage of the approval process.</w:t>
                      </w:r>
                    </w:p>
                    <w:p w14:paraId="6C022647" w14:textId="77777777" w:rsidR="00FE3F49" w:rsidRPr="00334AE4" w:rsidRDefault="00FE3F49" w:rsidP="00FE3F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Following the University’s consideration of this Form, you may also need to complete (the list is not exhaustive):</w:t>
                      </w:r>
                    </w:p>
                    <w:p w14:paraId="29836269" w14:textId="77777777" w:rsidR="00FE3F49" w:rsidRPr="00334AE4" w:rsidRDefault="00FE3F49" w:rsidP="00FE3F49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Curriculum mapping template</w:t>
                      </w:r>
                    </w:p>
                    <w:p w14:paraId="30633049" w14:textId="77777777" w:rsidR="00FE3F49" w:rsidRPr="00334AE4" w:rsidRDefault="00FE3F49" w:rsidP="00FE3F49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Site visit template (where relevant)</w:t>
                      </w:r>
                    </w:p>
                    <w:p w14:paraId="684027B3" w14:textId="77777777" w:rsidR="00FE3F49" w:rsidRPr="00334AE4" w:rsidRDefault="00FE3F49" w:rsidP="00FE3F49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34AE4">
                        <w:rPr>
                          <w:rFonts w:ascii="Arial" w:hAnsi="Arial" w:cs="Arial"/>
                          <w:sz w:val="18"/>
                          <w:szCs w:val="18"/>
                        </w:rPr>
                        <w:t>Fee reduction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2BE6">
        <w:rPr>
          <w:rFonts w:eastAsiaTheme="minorHAnsi"/>
          <w:b w:val="0"/>
          <w:bCs w:val="0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37FD106" wp14:editId="2FA16E63">
            <wp:simplePos x="0" y="0"/>
            <wp:positionH relativeFrom="page">
              <wp:posOffset>-9525</wp:posOffset>
            </wp:positionH>
            <wp:positionV relativeFrom="paragraph">
              <wp:posOffset>-1004570</wp:posOffset>
            </wp:positionV>
            <wp:extent cx="7558405" cy="1278255"/>
            <wp:effectExtent l="0" t="0" r="4445" b="0"/>
            <wp:wrapNone/>
            <wp:docPr id="1551572016" name="Picture 1551572016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46629" name="Picture 2" descr="A white background with black dots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37"/>
                    <a:stretch/>
                  </pic:blipFill>
                  <pic:spPr bwMode="auto">
                    <a:xfrm>
                      <a:off x="0" y="0"/>
                      <a:ext cx="7558405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F49">
        <w:t xml:space="preserve">Academic Partnerships: </w:t>
      </w:r>
      <w:r w:rsidR="00722BE6">
        <w:t xml:space="preserve">                                                                                    </w:t>
      </w:r>
      <w:r w:rsidRPr="00FE3F49">
        <w:t>Initial Proposal</w:t>
      </w:r>
      <w:r>
        <w:t xml:space="preserve"> Form</w:t>
      </w:r>
      <w:r w:rsidR="00722BE6">
        <w:t xml:space="preserve"> for Academic Due Diligence and Risk Assessment</w:t>
      </w:r>
    </w:p>
    <w:p w14:paraId="7A521332" w14:textId="77777777" w:rsidR="00FE3F49" w:rsidRDefault="00FE3F49" w:rsidP="00FE3F49">
      <w:pPr>
        <w:rPr>
          <w:rFonts w:ascii="Arial" w:hAnsi="Arial" w:cs="Arial"/>
          <w:sz w:val="18"/>
          <w:szCs w:val="18"/>
        </w:rPr>
      </w:pPr>
    </w:p>
    <w:p w14:paraId="635E3786" w14:textId="3085065E" w:rsidR="00FE3F49" w:rsidRDefault="00FE3F49" w:rsidP="00FE3F49">
      <w:pPr>
        <w:rPr>
          <w:rFonts w:ascii="Arial" w:hAnsi="Arial" w:cs="Arial"/>
          <w:sz w:val="18"/>
          <w:szCs w:val="18"/>
        </w:rPr>
      </w:pPr>
      <w:r w:rsidRPr="00745EB7"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z w:val="18"/>
          <w:szCs w:val="18"/>
        </w:rPr>
        <w:t>se</w:t>
      </w:r>
      <w:r w:rsidRPr="00745EB7">
        <w:rPr>
          <w:rFonts w:ascii="Arial" w:hAnsi="Arial" w:cs="Arial"/>
          <w:sz w:val="18"/>
          <w:szCs w:val="18"/>
        </w:rPr>
        <w:t xml:space="preserve"> diagrams are based on the typology used in the </w:t>
      </w:r>
      <w:hyperlink r:id="rId20" w:history="1">
        <w:r w:rsidRPr="00835027">
          <w:rPr>
            <w:rStyle w:val="Hyperlink"/>
            <w:rFonts w:ascii="Arial" w:hAnsi="Arial" w:cs="Arial"/>
            <w:i/>
            <w:iCs/>
            <w:color w:val="0E2841" w:themeColor="text2"/>
            <w:sz w:val="18"/>
            <w:szCs w:val="18"/>
          </w:rPr>
          <w:t>Code of practice for academic partnerships</w:t>
        </w:r>
      </w:hyperlink>
      <w:r>
        <w:rPr>
          <w:rFonts w:ascii="Arial" w:hAnsi="Arial" w:cs="Arial"/>
          <w:i/>
          <w:iCs/>
          <w:color w:val="0E2841" w:themeColor="text2"/>
          <w:sz w:val="18"/>
          <w:szCs w:val="18"/>
        </w:rPr>
        <w:t xml:space="preserve"> </w:t>
      </w:r>
      <w:r w:rsidRPr="00745EB7">
        <w:rPr>
          <w:rFonts w:ascii="Arial" w:hAnsi="Arial" w:cs="Arial"/>
          <w:sz w:val="18"/>
          <w:szCs w:val="18"/>
        </w:rPr>
        <w:t>and the generalised risk continuum</w:t>
      </w:r>
      <w:r>
        <w:rPr>
          <w:rFonts w:ascii="Arial" w:hAnsi="Arial" w:cs="Arial"/>
          <w:sz w:val="18"/>
          <w:szCs w:val="18"/>
        </w:rPr>
        <w:t>:</w:t>
      </w:r>
    </w:p>
    <w:p w14:paraId="3F75BD52" w14:textId="627CA8A2" w:rsidR="00FE3F49" w:rsidRDefault="00FE3F49" w:rsidP="00FE3F49">
      <w:pPr>
        <w:ind w:left="-284"/>
      </w:pPr>
      <w:r w:rsidRPr="00745EB7">
        <w:rPr>
          <w:rFonts w:ascii="Arial" w:hAnsi="Arial" w:cs="Arial"/>
          <w:sz w:val="18"/>
          <w:szCs w:val="18"/>
        </w:rPr>
        <w:t xml:space="preserve">  </w:t>
      </w:r>
      <w:r w:rsidRPr="00EC581D">
        <w:rPr>
          <w:noProof/>
        </w:rPr>
        <w:drawing>
          <wp:inline distT="0" distB="0" distL="0" distR="0" wp14:anchorId="52FA8D7A" wp14:editId="6FB6D51C">
            <wp:extent cx="6669197" cy="3620135"/>
            <wp:effectExtent l="0" t="0" r="0" b="0"/>
            <wp:docPr id="602347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91" cy="36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6878" w14:textId="01BF9ED1" w:rsidR="00FE3F49" w:rsidRPr="00901D52" w:rsidRDefault="00FE3F49" w:rsidP="00FE3F49">
      <w:pPr>
        <w:rPr>
          <w:rFonts w:ascii="Arial" w:hAnsi="Arial" w:cs="Arial"/>
          <w:b/>
        </w:rPr>
      </w:pPr>
      <w:r>
        <w:br w:type="page"/>
      </w:r>
    </w:p>
    <w:p w14:paraId="234E832F" w14:textId="77777777" w:rsidR="00C810DD" w:rsidRPr="00844E83" w:rsidRDefault="00C810DD" w:rsidP="00C810DD">
      <w:pPr>
        <w:rPr>
          <w:rFonts w:ascii="Arial" w:hAnsi="Arial" w:cs="Arial"/>
          <w:sz w:val="20"/>
          <w:szCs w:val="20"/>
        </w:rPr>
      </w:pPr>
      <w:r w:rsidRPr="0052458C">
        <w:rPr>
          <w:rFonts w:ascii="Arial" w:eastAsiaTheme="majorEastAsia" w:hAnsi="Arial" w:cs="Arial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9E43A" wp14:editId="089138C3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6216650" cy="546100"/>
                <wp:effectExtent l="0" t="0" r="12700" b="25400"/>
                <wp:wrapSquare wrapText="bothSides"/>
                <wp:docPr id="254898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AD48" w14:textId="77777777" w:rsidR="00C810DD" w:rsidRPr="0052458C" w:rsidRDefault="00C810DD" w:rsidP="00C810DD">
                            <w:pP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</w:pPr>
                            <w:r w:rsidRPr="0052458C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The Directorate of Academic Performance, Quality and Governance will assess the completed form and calculate the academic risk level. Please 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>update</w:t>
                            </w:r>
                            <w:r w:rsidRPr="0052458C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the table below to help us determine whether the 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academic </w:t>
                            </w:r>
                            <w:r w:rsidRPr="0052458C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partnership proposal 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>can</w:t>
                            </w:r>
                            <w:r w:rsidRPr="0052458C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be supported, and what measures are required to mitigate the risks.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E43A" id="_x0000_s1027" type="#_x0000_t202" style="position:absolute;margin-left:-3pt;margin-top:0;width:489.5pt;height:4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" strokeweight="0">
                <v:textbox>
                  <w:txbxContent>
                    <w:p w14:paraId="23F5AD48" w14:textId="77777777" w:rsidR="00C810DD" w:rsidRPr="0052458C" w:rsidRDefault="00C810DD" w:rsidP="00C810DD">
                      <w:pP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</w:pPr>
                      <w:r w:rsidRPr="0052458C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The Directorate of Academic Performance, Quality and Governance will assess the completed form and calculate the academic risk level. Please </w:t>
                      </w: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>update</w:t>
                      </w:r>
                      <w:r w:rsidRPr="0052458C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 the table below to help us determine whether the </w:t>
                      </w: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academic </w:t>
                      </w:r>
                      <w:r w:rsidRPr="0052458C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partnership proposal </w:t>
                      </w: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>can</w:t>
                      </w:r>
                      <w:r w:rsidRPr="0052458C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 be supported, and what measures are required to mitigate the risks.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458C">
        <w:rPr>
          <w:rFonts w:ascii="Arial" w:eastAsiaTheme="majorEastAsia" w:hAnsi="Arial" w:cs="Arial"/>
          <w:b/>
          <w:bCs/>
          <w:sz w:val="20"/>
          <w:szCs w:val="20"/>
        </w:rPr>
        <w:t xml:space="preserve">University of Surrey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23"/>
        <w:gridCol w:w="4853"/>
      </w:tblGrid>
      <w:tr w:rsidR="00C810DD" w:rsidRPr="00844E83" w14:paraId="7A393472" w14:textId="77777777" w:rsidTr="00C908F4">
        <w:tc>
          <w:tcPr>
            <w:tcW w:w="4923" w:type="dxa"/>
          </w:tcPr>
          <w:p w14:paraId="160B62AA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>Faculty(s)</w:t>
            </w:r>
          </w:p>
        </w:tc>
        <w:tc>
          <w:tcPr>
            <w:tcW w:w="4853" w:type="dxa"/>
          </w:tcPr>
          <w:p w14:paraId="4DD4DD43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096E511E" w14:textId="77777777" w:rsidTr="00C908F4">
        <w:tc>
          <w:tcPr>
            <w:tcW w:w="4923" w:type="dxa"/>
          </w:tcPr>
          <w:p w14:paraId="7F9DE2D6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>School(s)</w:t>
            </w:r>
          </w:p>
        </w:tc>
        <w:tc>
          <w:tcPr>
            <w:tcW w:w="4853" w:type="dxa"/>
          </w:tcPr>
          <w:p w14:paraId="67141B75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5DCDC84A" w14:textId="77777777" w:rsidTr="00C908F4">
        <w:tc>
          <w:tcPr>
            <w:tcW w:w="4923" w:type="dxa"/>
          </w:tcPr>
          <w:p w14:paraId="682A97CE" w14:textId="27EFD59F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>Academic lead(s)</w:t>
            </w:r>
            <w:r w:rsidR="007D490A">
              <w:rPr>
                <w:sz w:val="20"/>
                <w:szCs w:val="20"/>
              </w:rPr>
              <w:t>, including full title, job role, e-mail</w:t>
            </w:r>
          </w:p>
        </w:tc>
        <w:tc>
          <w:tcPr>
            <w:tcW w:w="4853" w:type="dxa"/>
          </w:tcPr>
          <w:p w14:paraId="450EA49C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3CC39B54" w14:textId="77777777" w:rsidTr="00C908F4">
        <w:tc>
          <w:tcPr>
            <w:tcW w:w="4923" w:type="dxa"/>
          </w:tcPr>
          <w:p w14:paraId="3A89B3FF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available expertise/experience in your S</w:t>
            </w:r>
            <w:r w:rsidRPr="00844E83">
              <w:rPr>
                <w:sz w:val="20"/>
                <w:szCs w:val="20"/>
              </w:rPr>
              <w:t>chool</w:t>
            </w:r>
            <w:r>
              <w:rPr>
                <w:sz w:val="20"/>
                <w:szCs w:val="20"/>
              </w:rPr>
              <w:t>/Faculty</w:t>
            </w:r>
            <w:r w:rsidRPr="00844E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 w:rsidRPr="00844E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developing/running </w:t>
            </w:r>
            <w:r w:rsidRPr="00844E83">
              <w:rPr>
                <w:sz w:val="20"/>
                <w:szCs w:val="20"/>
              </w:rPr>
              <w:t xml:space="preserve">this type of </w:t>
            </w:r>
            <w:r>
              <w:rPr>
                <w:sz w:val="20"/>
                <w:szCs w:val="20"/>
              </w:rPr>
              <w:t xml:space="preserve">academic </w:t>
            </w:r>
            <w:r w:rsidRPr="00844E83">
              <w:rPr>
                <w:sz w:val="20"/>
                <w:szCs w:val="20"/>
              </w:rPr>
              <w:t>partnership</w:t>
            </w:r>
            <w:r>
              <w:rPr>
                <w:sz w:val="20"/>
                <w:szCs w:val="20"/>
              </w:rPr>
              <w:t>?</w:t>
            </w:r>
            <w:r w:rsidRPr="00844E8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53" w:type="dxa"/>
          </w:tcPr>
          <w:p w14:paraId="4FCB13CE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908F4" w:rsidRPr="00844E83" w14:paraId="12461B6C" w14:textId="77777777" w:rsidTr="00C908F4">
        <w:tc>
          <w:tcPr>
            <w:tcW w:w="4923" w:type="dxa"/>
          </w:tcPr>
          <w:p w14:paraId="7AF8DF02" w14:textId="612D6228" w:rsidR="00C908F4" w:rsidRPr="00C908F4" w:rsidRDefault="00C908F4" w:rsidP="00DA2589">
            <w:pPr>
              <w:rPr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>Please confirm that this proposal has been discussed with</w:t>
            </w:r>
            <w:r w:rsidR="007D490A">
              <w:rPr>
                <w:sz w:val="20"/>
                <w:szCs w:val="20"/>
              </w:rPr>
              <w:t xml:space="preserve"> (include any relevant comments):</w:t>
            </w:r>
          </w:p>
        </w:tc>
        <w:tc>
          <w:tcPr>
            <w:tcW w:w="4853" w:type="dxa"/>
          </w:tcPr>
          <w:p w14:paraId="597017AD" w14:textId="11646129" w:rsidR="00C908F4" w:rsidRPr="00C908F4" w:rsidRDefault="00C908F4" w:rsidP="00C908F4">
            <w:pPr>
              <w:spacing w:after="120"/>
              <w:rPr>
                <w:i/>
                <w:iCs/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>Head of School / Dean of Faculty</w:t>
            </w:r>
            <w:r w:rsidRPr="00C908F4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73297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8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2775CE7" w14:textId="6C98A5D0" w:rsidR="00C908F4" w:rsidRPr="00C908F4" w:rsidRDefault="00C908F4" w:rsidP="00C908F4">
            <w:pPr>
              <w:spacing w:after="120"/>
              <w:rPr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>Associate Dean International (International only)</w:t>
            </w:r>
            <w:r w:rsidRPr="00C908F4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3210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8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833F91C" w14:textId="77777777" w:rsidR="00C908F4" w:rsidRPr="00C908F4" w:rsidRDefault="00C908F4" w:rsidP="00C908F4">
            <w:pPr>
              <w:spacing w:after="120"/>
              <w:rPr>
                <w:i/>
                <w:iCs/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>Associate Dean Education (taught programmes only)</w:t>
            </w:r>
            <w:r w:rsidRPr="00C908F4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8176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8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CE8964B" w14:textId="066F852C" w:rsidR="00C908F4" w:rsidRPr="00C908F4" w:rsidRDefault="00C908F4" w:rsidP="00C908F4">
            <w:pPr>
              <w:spacing w:after="120"/>
              <w:rPr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>Associate Dean Doctoral College (PGR only)</w:t>
            </w:r>
            <w:r w:rsidRPr="00C908F4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99137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8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89048D0" w14:textId="463B4B0F" w:rsidR="00C908F4" w:rsidRPr="00C908F4" w:rsidRDefault="00C908F4" w:rsidP="00DA2589">
            <w:pPr>
              <w:rPr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>Any other relevant Committee</w:t>
            </w:r>
            <w:r w:rsidR="00C42A3A">
              <w:rPr>
                <w:sz w:val="20"/>
                <w:szCs w:val="20"/>
              </w:rPr>
              <w:t xml:space="preserve"> </w:t>
            </w:r>
            <w:r w:rsidRPr="00C908F4">
              <w:rPr>
                <w:sz w:val="20"/>
                <w:szCs w:val="20"/>
              </w:rPr>
              <w:t>/ Department (please specify)</w:t>
            </w:r>
          </w:p>
        </w:tc>
      </w:tr>
    </w:tbl>
    <w:p w14:paraId="372AC905" w14:textId="77777777" w:rsidR="00C810DD" w:rsidRPr="00844E83" w:rsidRDefault="00C810DD" w:rsidP="00C810DD">
      <w:pPr>
        <w:pStyle w:val="Heading2"/>
        <w:rPr>
          <w:rFonts w:ascii="Arial" w:hAnsi="Arial" w:cs="Arial"/>
          <w:sz w:val="20"/>
          <w:szCs w:val="20"/>
        </w:rPr>
      </w:pPr>
      <w:r w:rsidRPr="00C908F4">
        <w:rPr>
          <w:rFonts w:ascii="Arial" w:hAnsi="Arial" w:cs="Arial"/>
          <w:b/>
          <w:bCs/>
          <w:color w:val="auto"/>
          <w:sz w:val="20"/>
          <w:szCs w:val="20"/>
        </w:rPr>
        <w:t>Partner</w:t>
      </w:r>
      <w:r w:rsidRPr="00844E8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25"/>
        <w:gridCol w:w="4851"/>
      </w:tblGrid>
      <w:tr w:rsidR="00C810DD" w:rsidRPr="00844E83" w14:paraId="74F77AAE" w14:textId="77777777" w:rsidTr="00C908F4">
        <w:tc>
          <w:tcPr>
            <w:tcW w:w="4925" w:type="dxa"/>
          </w:tcPr>
          <w:p w14:paraId="7F6EA70B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>Partner</w:t>
            </w:r>
            <w:r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4851" w:type="dxa"/>
          </w:tcPr>
          <w:p w14:paraId="530B5638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44D3DC34" w14:textId="77777777" w:rsidTr="00C908F4">
        <w:tc>
          <w:tcPr>
            <w:tcW w:w="4925" w:type="dxa"/>
          </w:tcPr>
          <w:p w14:paraId="552A6B55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postal a</w:t>
            </w:r>
            <w:r w:rsidRPr="00844E83">
              <w:rPr>
                <w:sz w:val="20"/>
                <w:szCs w:val="20"/>
              </w:rPr>
              <w:t>ddress</w:t>
            </w:r>
            <w:r>
              <w:rPr>
                <w:sz w:val="20"/>
                <w:szCs w:val="20"/>
              </w:rPr>
              <w:t>, website and e-mail(s)</w:t>
            </w:r>
            <w:r w:rsidRPr="00844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</w:tcPr>
          <w:p w14:paraId="57647B1D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14F2047D" w14:textId="77777777" w:rsidTr="00C908F4">
        <w:tc>
          <w:tcPr>
            <w:tcW w:w="4925" w:type="dxa"/>
          </w:tcPr>
          <w:p w14:paraId="0EB39A79" w14:textId="6EBDC6B4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 xml:space="preserve">Standing with PRSBs, </w:t>
            </w:r>
            <w:r w:rsidR="00722BE6">
              <w:rPr>
                <w:sz w:val="20"/>
                <w:szCs w:val="20"/>
              </w:rPr>
              <w:t>national/international institutional leagues</w:t>
            </w:r>
            <w:r w:rsidR="00C908F4">
              <w:rPr>
                <w:sz w:val="20"/>
                <w:szCs w:val="20"/>
              </w:rPr>
              <w:t xml:space="preserve"> rankings, etc.</w:t>
            </w:r>
          </w:p>
        </w:tc>
        <w:tc>
          <w:tcPr>
            <w:tcW w:w="4851" w:type="dxa"/>
          </w:tcPr>
          <w:p w14:paraId="1B39D6CC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75EA3FF6" w14:textId="77777777" w:rsidTr="00C908F4">
        <w:tc>
          <w:tcPr>
            <w:tcW w:w="4925" w:type="dxa"/>
          </w:tcPr>
          <w:p w14:paraId="23A2E19D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partner institution’s </w:t>
            </w:r>
            <w:r w:rsidRPr="00844E83">
              <w:rPr>
                <w:sz w:val="20"/>
                <w:szCs w:val="20"/>
              </w:rPr>
              <w:t xml:space="preserve">previous experience in </w:t>
            </w:r>
            <w:r>
              <w:rPr>
                <w:sz w:val="20"/>
                <w:szCs w:val="20"/>
              </w:rPr>
              <w:t xml:space="preserve">delivering academic </w:t>
            </w:r>
            <w:r w:rsidRPr="00844E83">
              <w:rPr>
                <w:sz w:val="20"/>
                <w:szCs w:val="20"/>
              </w:rPr>
              <w:t>partnerships</w:t>
            </w:r>
            <w:r>
              <w:rPr>
                <w:sz w:val="20"/>
                <w:szCs w:val="20"/>
              </w:rPr>
              <w:t>?</w:t>
            </w:r>
            <w:r w:rsidRPr="00844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</w:tcPr>
          <w:p w14:paraId="3AB61256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0449239F" w14:textId="77777777" w:rsidTr="00C908F4">
        <w:tc>
          <w:tcPr>
            <w:tcW w:w="4925" w:type="dxa"/>
          </w:tcPr>
          <w:p w14:paraId="36A4AE96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Pr="00844E83">
              <w:rPr>
                <w:sz w:val="20"/>
                <w:szCs w:val="20"/>
              </w:rPr>
              <w:t xml:space="preserve"> students</w:t>
            </w:r>
            <w:r>
              <w:rPr>
                <w:sz w:val="20"/>
                <w:szCs w:val="20"/>
              </w:rPr>
              <w:t>’</w:t>
            </w:r>
            <w:r w:rsidRPr="00844E83">
              <w:rPr>
                <w:sz w:val="20"/>
                <w:szCs w:val="20"/>
              </w:rPr>
              <w:t xml:space="preserve"> previous study</w:t>
            </w:r>
            <w:r>
              <w:rPr>
                <w:sz w:val="20"/>
                <w:szCs w:val="20"/>
              </w:rPr>
              <w:t xml:space="preserve"> pathway</w:t>
            </w:r>
            <w:r w:rsidRPr="00844E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(if relevant)</w:t>
            </w:r>
          </w:p>
        </w:tc>
        <w:tc>
          <w:tcPr>
            <w:tcW w:w="4851" w:type="dxa"/>
          </w:tcPr>
          <w:p w14:paraId="66CA91D2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0D4B91FF" w14:textId="77777777" w:rsidTr="00C908F4">
        <w:tc>
          <w:tcPr>
            <w:tcW w:w="4925" w:type="dxa"/>
          </w:tcPr>
          <w:p w14:paraId="04E847AF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programme(s) are delivered in what l</w:t>
            </w:r>
            <w:r w:rsidRPr="00844E83">
              <w:rPr>
                <w:sz w:val="20"/>
                <w:szCs w:val="20"/>
              </w:rPr>
              <w:t>anguage</w:t>
            </w:r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4851" w:type="dxa"/>
          </w:tcPr>
          <w:p w14:paraId="5E12AB89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62DD4DB0" w14:textId="77777777" w:rsidTr="00C908F4">
        <w:tc>
          <w:tcPr>
            <w:tcW w:w="4925" w:type="dxa"/>
          </w:tcPr>
          <w:p w14:paraId="272C9458" w14:textId="6BBB5D75" w:rsidR="00C810DD" w:rsidRPr="00844E83" w:rsidRDefault="00722BE6" w:rsidP="00DA2589">
            <w:pPr>
              <w:rPr>
                <w:sz w:val="20"/>
                <w:szCs w:val="20"/>
              </w:rPr>
            </w:pPr>
            <w:r w:rsidRPr="00722BE6">
              <w:rPr>
                <w:sz w:val="20"/>
                <w:szCs w:val="20"/>
              </w:rPr>
              <w:t>Please provide a brief description of the nature of the proposed collaboration, including the proposed split of time to be spent at Surrey/partner institution</w:t>
            </w:r>
            <w:r w:rsidR="00C42A3A">
              <w:rPr>
                <w:sz w:val="20"/>
                <w:szCs w:val="20"/>
              </w:rPr>
              <w:t>.</w:t>
            </w:r>
          </w:p>
        </w:tc>
        <w:tc>
          <w:tcPr>
            <w:tcW w:w="4851" w:type="dxa"/>
          </w:tcPr>
          <w:p w14:paraId="7443A9FD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7C8B7B50" w14:textId="77777777" w:rsidTr="00C908F4">
        <w:tc>
          <w:tcPr>
            <w:tcW w:w="4925" w:type="dxa"/>
          </w:tcPr>
          <w:p w14:paraId="6F0F8D32" w14:textId="0CCC3DAF" w:rsidR="00C908F4" w:rsidRDefault="00C908F4" w:rsidP="00C908F4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UK/</w:t>
            </w:r>
            <w:r w:rsidRPr="00C908F4">
              <w:rPr>
                <w:i/>
                <w:iCs/>
                <w:sz w:val="20"/>
                <w:szCs w:val="20"/>
              </w:rPr>
              <w:t>Home institutions only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14:paraId="5EFA3FAA" w14:textId="77C6487E" w:rsidR="00C810DD" w:rsidRPr="00844E83" w:rsidRDefault="00C908F4" w:rsidP="00C908F4">
            <w:pPr>
              <w:spacing w:after="0"/>
              <w:rPr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 xml:space="preserve">Please comment on the proposed partners compliance with the </w:t>
            </w:r>
            <w:hyperlink r:id="rId22" w:history="1">
              <w:proofErr w:type="spellStart"/>
              <w:r w:rsidRPr="00C908F4">
                <w:rPr>
                  <w:rStyle w:val="Hyperlink"/>
                  <w:sz w:val="20"/>
                  <w:szCs w:val="20"/>
                </w:rPr>
                <w:t>OfS</w:t>
              </w:r>
              <w:proofErr w:type="spellEnd"/>
              <w:r w:rsidRPr="00C908F4">
                <w:rPr>
                  <w:rStyle w:val="Hyperlink"/>
                  <w:sz w:val="20"/>
                  <w:szCs w:val="20"/>
                </w:rPr>
                <w:t xml:space="preserve"> B3 condition of ongoing registration</w:t>
              </w:r>
            </w:hyperlink>
            <w:r w:rsidRPr="00C908F4">
              <w:rPr>
                <w:sz w:val="20"/>
                <w:szCs w:val="20"/>
              </w:rPr>
              <w:t>. Are they below any of the thresholds?</w:t>
            </w:r>
          </w:p>
        </w:tc>
        <w:tc>
          <w:tcPr>
            <w:tcW w:w="4851" w:type="dxa"/>
          </w:tcPr>
          <w:p w14:paraId="416937B9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</w:tbl>
    <w:p w14:paraId="0E06945E" w14:textId="77777777" w:rsidR="00C810DD" w:rsidRPr="00C908F4" w:rsidRDefault="00C810DD" w:rsidP="00C810DD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r w:rsidRPr="00C908F4">
        <w:rPr>
          <w:rFonts w:ascii="Arial" w:hAnsi="Arial" w:cs="Arial"/>
          <w:b/>
          <w:bCs/>
          <w:color w:val="auto"/>
          <w:sz w:val="20"/>
          <w:szCs w:val="20"/>
        </w:rPr>
        <w:t xml:space="preserve">Proposal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69"/>
        <w:gridCol w:w="4907"/>
      </w:tblGrid>
      <w:tr w:rsidR="00C810DD" w:rsidRPr="00844E83" w14:paraId="62D7C83E" w14:textId="77777777" w:rsidTr="007D490A">
        <w:tc>
          <w:tcPr>
            <w:tcW w:w="4869" w:type="dxa"/>
          </w:tcPr>
          <w:p w14:paraId="2D7687A2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>Type of partnership</w:t>
            </w:r>
          </w:p>
        </w:tc>
        <w:tc>
          <w:tcPr>
            <w:tcW w:w="4907" w:type="dxa"/>
          </w:tcPr>
          <w:p w14:paraId="373E0F25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46E9A99D" w14:textId="77777777" w:rsidTr="007D490A">
        <w:tc>
          <w:tcPr>
            <w:tcW w:w="4869" w:type="dxa"/>
          </w:tcPr>
          <w:p w14:paraId="0B29EF82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lastRenderedPageBreak/>
              <w:t>Subject area(s)</w:t>
            </w:r>
          </w:p>
        </w:tc>
        <w:tc>
          <w:tcPr>
            <w:tcW w:w="4907" w:type="dxa"/>
          </w:tcPr>
          <w:p w14:paraId="62D600CD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0CB1063A" w14:textId="77777777" w:rsidTr="007D490A">
        <w:tc>
          <w:tcPr>
            <w:tcW w:w="4869" w:type="dxa"/>
          </w:tcPr>
          <w:p w14:paraId="0D1CD084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Award </w:t>
            </w:r>
            <w:r w:rsidRPr="00844E83">
              <w:rPr>
                <w:sz w:val="20"/>
                <w:szCs w:val="20"/>
              </w:rPr>
              <w:t>Qualifications</w:t>
            </w:r>
          </w:p>
        </w:tc>
        <w:tc>
          <w:tcPr>
            <w:tcW w:w="4907" w:type="dxa"/>
          </w:tcPr>
          <w:p w14:paraId="257821AF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2948C22C" w14:textId="77777777" w:rsidTr="007D490A">
        <w:tc>
          <w:tcPr>
            <w:tcW w:w="4869" w:type="dxa"/>
          </w:tcPr>
          <w:p w14:paraId="7E4895C4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 xml:space="preserve">Level of awards </w:t>
            </w:r>
          </w:p>
        </w:tc>
        <w:tc>
          <w:tcPr>
            <w:tcW w:w="4907" w:type="dxa"/>
          </w:tcPr>
          <w:p w14:paraId="41A670F8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65CBFDCB" w14:textId="77777777" w:rsidTr="007D490A">
        <w:tc>
          <w:tcPr>
            <w:tcW w:w="4869" w:type="dxa"/>
          </w:tcPr>
          <w:p w14:paraId="674DD0EC" w14:textId="2D0A9416" w:rsidR="00C810DD" w:rsidRPr="00844E83" w:rsidRDefault="00C810DD" w:rsidP="00DA2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Projected n</w:t>
            </w:r>
            <w:r w:rsidRPr="00844E83">
              <w:rPr>
                <w:sz w:val="20"/>
                <w:szCs w:val="20"/>
              </w:rPr>
              <w:t>umber of students (</w:t>
            </w:r>
            <w:r>
              <w:rPr>
                <w:sz w:val="20"/>
                <w:szCs w:val="20"/>
              </w:rPr>
              <w:t xml:space="preserve">total </w:t>
            </w:r>
            <w:r w:rsidRPr="00844E83">
              <w:rPr>
                <w:sz w:val="20"/>
                <w:szCs w:val="20"/>
              </w:rPr>
              <w:t xml:space="preserve">and per </w:t>
            </w:r>
            <w:r>
              <w:rPr>
                <w:sz w:val="20"/>
                <w:szCs w:val="20"/>
              </w:rPr>
              <w:t>each programme/</w:t>
            </w:r>
            <w:r w:rsidRPr="00844E83">
              <w:rPr>
                <w:sz w:val="20"/>
                <w:szCs w:val="20"/>
              </w:rPr>
              <w:t xml:space="preserve">pathway) </w:t>
            </w:r>
          </w:p>
        </w:tc>
        <w:tc>
          <w:tcPr>
            <w:tcW w:w="4907" w:type="dxa"/>
          </w:tcPr>
          <w:p w14:paraId="2F54DDC1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0EB067F0" w14:textId="77777777" w:rsidTr="007D490A">
        <w:tc>
          <w:tcPr>
            <w:tcW w:w="4869" w:type="dxa"/>
          </w:tcPr>
          <w:p w14:paraId="5DD435ED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>Location of study</w:t>
            </w:r>
          </w:p>
        </w:tc>
        <w:tc>
          <w:tcPr>
            <w:tcW w:w="4907" w:type="dxa"/>
          </w:tcPr>
          <w:p w14:paraId="3125B57E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041ADAB5" w14:textId="77777777" w:rsidTr="007D490A">
        <w:tc>
          <w:tcPr>
            <w:tcW w:w="4869" w:type="dxa"/>
          </w:tcPr>
          <w:p w14:paraId="20900867" w14:textId="77777777" w:rsidR="00C810DD" w:rsidRPr="00844E83" w:rsidRDefault="00C810DD" w:rsidP="00DA2589">
            <w:pPr>
              <w:rPr>
                <w:sz w:val="20"/>
                <w:szCs w:val="20"/>
              </w:rPr>
            </w:pPr>
            <w:r w:rsidRPr="00844E8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dditional a</w:t>
            </w:r>
            <w:r w:rsidRPr="00844E83">
              <w:rPr>
                <w:sz w:val="20"/>
                <w:szCs w:val="20"/>
              </w:rPr>
              <w:t>ccreditation requirements</w:t>
            </w:r>
            <w:r>
              <w:rPr>
                <w:sz w:val="20"/>
                <w:szCs w:val="20"/>
              </w:rPr>
              <w:t xml:space="preserve"> (where relevant)</w:t>
            </w:r>
          </w:p>
        </w:tc>
        <w:tc>
          <w:tcPr>
            <w:tcW w:w="4907" w:type="dxa"/>
          </w:tcPr>
          <w:p w14:paraId="509F2352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908F4" w:rsidRPr="00844E83" w14:paraId="24D8F8A6" w14:textId="77777777" w:rsidTr="007D490A">
        <w:tc>
          <w:tcPr>
            <w:tcW w:w="4869" w:type="dxa"/>
          </w:tcPr>
          <w:p w14:paraId="15F1B7F9" w14:textId="7E78748F" w:rsidR="00C908F4" w:rsidRPr="00844E83" w:rsidRDefault="00C908F4" w:rsidP="00DA2589">
            <w:pPr>
              <w:rPr>
                <w:sz w:val="20"/>
                <w:szCs w:val="20"/>
              </w:rPr>
            </w:pPr>
            <w:r w:rsidRPr="00C908F4">
              <w:rPr>
                <w:sz w:val="20"/>
                <w:szCs w:val="20"/>
              </w:rPr>
              <w:t>What resources would be required to develop, support and monitor this partnership? Please provide a brief description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07" w:type="dxa"/>
          </w:tcPr>
          <w:p w14:paraId="752B9AA7" w14:textId="77777777" w:rsidR="00C908F4" w:rsidRPr="00844E83" w:rsidRDefault="00C908F4" w:rsidP="00DA2589">
            <w:pPr>
              <w:rPr>
                <w:sz w:val="20"/>
                <w:szCs w:val="20"/>
              </w:rPr>
            </w:pPr>
          </w:p>
        </w:tc>
      </w:tr>
    </w:tbl>
    <w:p w14:paraId="15450409" w14:textId="77777777" w:rsidR="00C810DD" w:rsidRPr="00C908F4" w:rsidRDefault="00C810DD" w:rsidP="00C810DD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r w:rsidRPr="00C908F4">
        <w:rPr>
          <w:rFonts w:ascii="Arial" w:hAnsi="Arial" w:cs="Arial"/>
          <w:b/>
          <w:bCs/>
          <w:color w:val="auto"/>
          <w:sz w:val="20"/>
          <w:szCs w:val="20"/>
        </w:rPr>
        <w:t>Other detail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810DD" w:rsidRPr="00844E83" w14:paraId="278098F3" w14:textId="77777777" w:rsidTr="007D490A">
        <w:tc>
          <w:tcPr>
            <w:tcW w:w="9776" w:type="dxa"/>
          </w:tcPr>
          <w:p w14:paraId="75ED8AB7" w14:textId="636BC2FD" w:rsidR="00722BE6" w:rsidRPr="00C908F4" w:rsidRDefault="00C810DD" w:rsidP="00722BE6">
            <w:pPr>
              <w:spacing w:after="0"/>
              <w:rPr>
                <w:sz w:val="18"/>
                <w:szCs w:val="18"/>
              </w:rPr>
            </w:pPr>
            <w:r w:rsidRPr="00C908F4">
              <w:rPr>
                <w:sz w:val="18"/>
                <w:szCs w:val="18"/>
              </w:rPr>
              <w:t xml:space="preserve">Please provide additional details to support the proposal. </w:t>
            </w:r>
            <w:r w:rsidR="00722BE6" w:rsidRPr="00C908F4">
              <w:rPr>
                <w:sz w:val="18"/>
                <w:szCs w:val="18"/>
              </w:rPr>
              <w:t>For example, you may include:</w:t>
            </w:r>
          </w:p>
          <w:p w14:paraId="037AE174" w14:textId="4AAD9F77" w:rsidR="00722BE6" w:rsidRPr="00C908F4" w:rsidRDefault="00C42A3A" w:rsidP="00DA2589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810DD" w:rsidRPr="00C908F4">
              <w:rPr>
                <w:sz w:val="18"/>
                <w:szCs w:val="18"/>
              </w:rPr>
              <w:t>ny additional mitigation plans to alleviate the academic risk that is not already covered above.</w:t>
            </w:r>
          </w:p>
          <w:p w14:paraId="1C1E9E31" w14:textId="54D53CD0" w:rsidR="00722BE6" w:rsidRPr="00C908F4" w:rsidRDefault="00C42A3A" w:rsidP="00722BE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22BE6" w:rsidRPr="00C908F4">
              <w:rPr>
                <w:sz w:val="18"/>
                <w:szCs w:val="18"/>
              </w:rPr>
              <w:t xml:space="preserve">dditional </w:t>
            </w:r>
            <w:r w:rsidR="00C810DD" w:rsidRPr="00C908F4">
              <w:rPr>
                <w:sz w:val="18"/>
                <w:szCs w:val="18"/>
              </w:rPr>
              <w:t xml:space="preserve">key facts about the partner, noting any existing links/activities, significant visits/meetings, </w:t>
            </w:r>
            <w:r w:rsidR="001335AA">
              <w:rPr>
                <w:sz w:val="18"/>
                <w:szCs w:val="18"/>
              </w:rPr>
              <w:t>compatibility</w:t>
            </w:r>
            <w:r w:rsidR="00C810DD" w:rsidRPr="00C908F4">
              <w:rPr>
                <w:sz w:val="18"/>
                <w:szCs w:val="18"/>
              </w:rPr>
              <w:t xml:space="preserve"> with Surrey programmes </w:t>
            </w:r>
            <w:r w:rsidR="001335AA">
              <w:rPr>
                <w:sz w:val="18"/>
                <w:szCs w:val="18"/>
              </w:rPr>
              <w:t xml:space="preserve">and regulations, </w:t>
            </w:r>
            <w:r w:rsidR="00C810DD" w:rsidRPr="00C908F4">
              <w:rPr>
                <w:sz w:val="18"/>
                <w:szCs w:val="18"/>
              </w:rPr>
              <w:t>or mutual research interests</w:t>
            </w:r>
            <w:r>
              <w:rPr>
                <w:sz w:val="18"/>
                <w:szCs w:val="18"/>
              </w:rPr>
              <w:t>.</w:t>
            </w:r>
          </w:p>
          <w:p w14:paraId="13B87C2D" w14:textId="685EE907" w:rsidR="00722BE6" w:rsidRPr="00844E83" w:rsidRDefault="00722BE6" w:rsidP="00722BE6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C908F4">
              <w:rPr>
                <w:sz w:val="18"/>
                <w:szCs w:val="18"/>
              </w:rPr>
              <w:t>Strategic fit: Please describe how the partnership supports the University’s strategic objectives.</w:t>
            </w:r>
          </w:p>
        </w:tc>
      </w:tr>
      <w:tr w:rsidR="00C810DD" w:rsidRPr="00844E83" w14:paraId="44BC017A" w14:textId="77777777" w:rsidTr="007D490A">
        <w:tc>
          <w:tcPr>
            <w:tcW w:w="9776" w:type="dxa"/>
          </w:tcPr>
          <w:p w14:paraId="0B786A83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  <w:p w14:paraId="259ADAF7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  <w:p w14:paraId="40CEF21F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  <w:p w14:paraId="5E2B7889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</w:tbl>
    <w:p w14:paraId="40F8548E" w14:textId="77777777" w:rsidR="007D490A" w:rsidRDefault="007D490A" w:rsidP="00C810DD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6F922E1" w14:textId="1607B6B1" w:rsidR="00C810DD" w:rsidRPr="00C908F4" w:rsidRDefault="007D490A" w:rsidP="00C810DD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Academic Risk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56"/>
        <w:gridCol w:w="6120"/>
      </w:tblGrid>
      <w:tr w:rsidR="00C810DD" w:rsidRPr="00844E83" w14:paraId="0399C687" w14:textId="77777777" w:rsidTr="007D490A">
        <w:tc>
          <w:tcPr>
            <w:tcW w:w="3656" w:type="dxa"/>
          </w:tcPr>
          <w:p w14:paraId="1D2A58D9" w14:textId="77777777" w:rsidR="00C810DD" w:rsidRPr="007D490A" w:rsidRDefault="00C810DD" w:rsidP="00DA2589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7D490A">
              <w:rPr>
                <w:b/>
                <w:bCs/>
                <w:color w:val="EE0000"/>
                <w:sz w:val="18"/>
                <w:szCs w:val="18"/>
              </w:rPr>
              <w:t>ACADEMIC RISK ASSESSMENT LEVEL</w:t>
            </w:r>
          </w:p>
        </w:tc>
        <w:tc>
          <w:tcPr>
            <w:tcW w:w="6120" w:type="dxa"/>
          </w:tcPr>
          <w:p w14:paraId="7C9F3AA5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  <w:tr w:rsidR="00C810DD" w:rsidRPr="00844E83" w14:paraId="6621262A" w14:textId="77777777" w:rsidTr="007D490A">
        <w:tc>
          <w:tcPr>
            <w:tcW w:w="3656" w:type="dxa"/>
          </w:tcPr>
          <w:p w14:paraId="16CEA11E" w14:textId="712609B1" w:rsidR="00C810DD" w:rsidRDefault="00C810DD" w:rsidP="00DA2589">
            <w:pPr>
              <w:rPr>
                <w:sz w:val="18"/>
                <w:szCs w:val="18"/>
              </w:rPr>
            </w:pPr>
            <w:r w:rsidRPr="00745EB7">
              <w:rPr>
                <w:b/>
                <w:bCs/>
                <w:sz w:val="18"/>
                <w:szCs w:val="18"/>
              </w:rPr>
              <w:t>Mr Nicholas Moore, Director of Academic Performance, Quality and Governance</w:t>
            </w:r>
          </w:p>
          <w:p w14:paraId="1007C34F" w14:textId="717389F8" w:rsidR="00C810DD" w:rsidRPr="00844E83" w:rsidRDefault="00C810DD" w:rsidP="00DA2589">
            <w:pPr>
              <w:rPr>
                <w:color w:val="EE0000"/>
                <w:sz w:val="18"/>
                <w:szCs w:val="18"/>
              </w:rPr>
            </w:pPr>
            <w:r w:rsidRPr="00844E83">
              <w:rPr>
                <w:sz w:val="18"/>
                <w:szCs w:val="18"/>
              </w:rPr>
              <w:t>Signed</w:t>
            </w:r>
            <w:r w:rsidR="00C42A3A">
              <w:rPr>
                <w:sz w:val="18"/>
                <w:szCs w:val="18"/>
              </w:rPr>
              <w:t xml:space="preserve"> </w:t>
            </w:r>
            <w:r w:rsidRPr="00844E83">
              <w:rPr>
                <w:sz w:val="18"/>
                <w:szCs w:val="18"/>
              </w:rPr>
              <w:t>/ Date</w:t>
            </w:r>
          </w:p>
        </w:tc>
        <w:tc>
          <w:tcPr>
            <w:tcW w:w="6120" w:type="dxa"/>
          </w:tcPr>
          <w:p w14:paraId="14DC6526" w14:textId="77777777" w:rsidR="00C810DD" w:rsidRPr="00844E83" w:rsidRDefault="00C810DD" w:rsidP="00DA2589">
            <w:pPr>
              <w:rPr>
                <w:sz w:val="20"/>
                <w:szCs w:val="20"/>
              </w:rPr>
            </w:pPr>
          </w:p>
        </w:tc>
      </w:tr>
    </w:tbl>
    <w:p w14:paraId="042B0E48" w14:textId="78A9687B" w:rsidR="00FE3F49" w:rsidRDefault="007D490A">
      <w:pPr>
        <w:spacing w:after="160" w:line="259" w:lineRule="auto"/>
      </w:pPr>
      <w:r w:rsidRPr="0052458C">
        <w:rPr>
          <w:rFonts w:ascii="Arial" w:eastAsiaTheme="majorEastAsia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1A4068" wp14:editId="082583DE">
                <wp:simplePos x="0" y="0"/>
                <wp:positionH relativeFrom="column">
                  <wp:posOffset>0</wp:posOffset>
                </wp:positionH>
                <wp:positionV relativeFrom="paragraph">
                  <wp:posOffset>338455</wp:posOffset>
                </wp:positionV>
                <wp:extent cx="6216650" cy="514350"/>
                <wp:effectExtent l="0" t="0" r="12700" b="19050"/>
                <wp:wrapSquare wrapText="bothSides"/>
                <wp:docPr id="904360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8263" w14:textId="53D59139" w:rsidR="007D490A" w:rsidRPr="0052458C" w:rsidRDefault="007D490A" w:rsidP="007D490A">
                            <w:pP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</w:pPr>
                            <w:r w:rsidRPr="0052458C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hyperlink r:id="rId23" w:history="1">
                              <w:r w:rsidRPr="0057226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Directorate of Academic Performance, Quality and Governance</w:t>
                              </w:r>
                            </w:hyperlink>
                            <w:r w:rsidRPr="0052458C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will assess the completed form and calculate the academic risk level. 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Once this step is finalised, you will be </w:t>
                            </w:r>
                            <w:r w:rsidR="00572260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>advis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ed </w:t>
                            </w:r>
                            <w:r w:rsidR="00572260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the next steps of the approval process</w:t>
                            </w:r>
                            <w:r w:rsidRPr="0052458C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 xml:space="preserve"> The full details of this process are described in the </w:t>
                            </w:r>
                            <w:hyperlink r:id="rId24" w:history="1">
                              <w:r w:rsidRPr="00835027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color w:val="0E2841" w:themeColor="text2"/>
                                  <w:sz w:val="18"/>
                                  <w:szCs w:val="18"/>
                                </w:rPr>
                                <w:t>Code of practice for academic partnerships</w:t>
                              </w:r>
                            </w:hyperlink>
                            <w:r w:rsidRPr="00835027">
                              <w:rPr>
                                <w:rFonts w:ascii="Arial" w:hAnsi="Arial" w:cs="Arial"/>
                                <w:color w:val="0E2841" w:themeColor="text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4068" id="_x0000_s1028" type="#_x0000_t202" style="position:absolute;margin-left:0;margin-top:26.65pt;width:489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" strokeweight="0">
                <v:textbox>
                  <w:txbxContent>
                    <w:p w14:paraId="75458263" w14:textId="53D59139" w:rsidR="007D490A" w:rsidRPr="0052458C" w:rsidRDefault="007D490A" w:rsidP="007D490A">
                      <w:pP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</w:pPr>
                      <w:r w:rsidRPr="0052458C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The </w:t>
                      </w:r>
                      <w:hyperlink r:id="rId25" w:history="1">
                        <w:r w:rsidRPr="0057226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Directorate of Academic Performance, Quality and Governance</w:t>
                        </w:r>
                      </w:hyperlink>
                      <w:r w:rsidRPr="0052458C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 will assess the completed form and calculate the academic risk level. </w:t>
                      </w: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Once this step is finalised, you will be </w:t>
                      </w:r>
                      <w:r w:rsidR="00572260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>advis</w:t>
                      </w: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ed </w:t>
                      </w:r>
                      <w:r w:rsidR="00572260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 the next steps of the approval process</w:t>
                      </w:r>
                      <w:r w:rsidRPr="0052458C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 xml:space="preserve"> The full details of this process are described in the </w:t>
                      </w:r>
                      <w:hyperlink r:id="rId26" w:history="1">
                        <w:r w:rsidRPr="00835027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color w:val="0E2841" w:themeColor="text2"/>
                            <w:sz w:val="18"/>
                            <w:szCs w:val="18"/>
                          </w:rPr>
                          <w:t>Code of practice for academic partnerships</w:t>
                        </w:r>
                      </w:hyperlink>
                      <w:r w:rsidRPr="00835027">
                        <w:rPr>
                          <w:rFonts w:ascii="Arial" w:hAnsi="Arial" w:cs="Arial"/>
                          <w:color w:val="0E2841" w:themeColor="text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265921" w14:textId="77777777" w:rsidR="00FE3F49" w:rsidRPr="00FE3F49" w:rsidRDefault="00FE3F49" w:rsidP="00FE3F49"/>
    <w:sectPr w:rsidR="00FE3F49" w:rsidRPr="00FE3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3C9"/>
    <w:multiLevelType w:val="hybridMultilevel"/>
    <w:tmpl w:val="BA5E1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32193C"/>
    <w:multiLevelType w:val="hybridMultilevel"/>
    <w:tmpl w:val="6D720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37106"/>
    <w:multiLevelType w:val="hybridMultilevel"/>
    <w:tmpl w:val="18700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21A67"/>
    <w:multiLevelType w:val="hybridMultilevel"/>
    <w:tmpl w:val="2E80673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556742918">
    <w:abstractNumId w:val="1"/>
  </w:num>
  <w:num w:numId="2" w16cid:durableId="1945847015">
    <w:abstractNumId w:val="0"/>
  </w:num>
  <w:num w:numId="3" w16cid:durableId="1671904907">
    <w:abstractNumId w:val="2"/>
  </w:num>
  <w:num w:numId="4" w16cid:durableId="114866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49"/>
    <w:rsid w:val="00005F76"/>
    <w:rsid w:val="00050288"/>
    <w:rsid w:val="00080144"/>
    <w:rsid w:val="001335AA"/>
    <w:rsid w:val="001C32EA"/>
    <w:rsid w:val="002C30B4"/>
    <w:rsid w:val="0032065A"/>
    <w:rsid w:val="0050680D"/>
    <w:rsid w:val="00526284"/>
    <w:rsid w:val="00572260"/>
    <w:rsid w:val="005D15E6"/>
    <w:rsid w:val="00722BE6"/>
    <w:rsid w:val="007D490A"/>
    <w:rsid w:val="008B0E04"/>
    <w:rsid w:val="00A80057"/>
    <w:rsid w:val="00AF2521"/>
    <w:rsid w:val="00B13A31"/>
    <w:rsid w:val="00B205C4"/>
    <w:rsid w:val="00BD7318"/>
    <w:rsid w:val="00C42A3A"/>
    <w:rsid w:val="00C540E1"/>
    <w:rsid w:val="00C810DD"/>
    <w:rsid w:val="00C908F4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1D8D"/>
  <w15:chartTrackingRefBased/>
  <w15:docId w15:val="{C631D447-E746-436F-945D-AEE6DA8D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4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3F49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F49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F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F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E3F49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C30B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o@surrey.ac.uk" TargetMode="External"/><Relationship Id="rId13" Type="http://schemas.openxmlformats.org/officeDocument/2006/relationships/hyperlink" Target="mailto:intpartnerships@surrey.ac.uk" TargetMode="External"/><Relationship Id="rId18" Type="http://schemas.openxmlformats.org/officeDocument/2006/relationships/hyperlink" Target="mailto:intpartnerships@surrey.ac.uk" TargetMode="External"/><Relationship Id="rId26" Type="http://schemas.openxmlformats.org/officeDocument/2006/relationships/hyperlink" Target="https://www.surrey.ac.uk/sites/default/files/2025-10/code-of-practice-for-academic-partnerships-2025-26-new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emf"/><Relationship Id="rId7" Type="http://schemas.openxmlformats.org/officeDocument/2006/relationships/hyperlink" Target="https://surreynet.surrey.ac.uk/sites/default/files/2022-11/Initial%20Proposal%20Form%20for%20New%20Student%20Exchange%20Agreements%20.docx" TargetMode="External"/><Relationship Id="rId12" Type="http://schemas.openxmlformats.org/officeDocument/2006/relationships/hyperlink" Target="https://www.surrey.ac.uk/sites/default/files/2025-10/code-of-practice-for-academic-partnerships-2025-26-new.pdf" TargetMode="External"/><Relationship Id="rId17" Type="http://schemas.openxmlformats.org/officeDocument/2006/relationships/hyperlink" Target="mailto:Regulations@surrey.ac.uk" TargetMode="External"/><Relationship Id="rId25" Type="http://schemas.openxmlformats.org/officeDocument/2006/relationships/hyperlink" Target="mailto:regulations@surrey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qualitysupport@surrey.ac.uk" TargetMode="External"/><Relationship Id="rId20" Type="http://schemas.openxmlformats.org/officeDocument/2006/relationships/hyperlink" Target="https://www.surrey.ac.uk/sites/default/files/2025-10/code-of-practice-for-academic-partnerships-2025-26-new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tpartnerships@surrey.ac.uk" TargetMode="External"/><Relationship Id="rId11" Type="http://schemas.openxmlformats.org/officeDocument/2006/relationships/hyperlink" Target="mailto:intpartnerships@surrey.ac.uk" TargetMode="External"/><Relationship Id="rId24" Type="http://schemas.openxmlformats.org/officeDocument/2006/relationships/hyperlink" Target="https://www.surrey.ac.uk/sites/default/files/2025-10/code-of-practice-for-academic-partnerships-2025-26-new.pdf" TargetMode="External"/><Relationship Id="rId5" Type="http://schemas.openxmlformats.org/officeDocument/2006/relationships/hyperlink" Target="https://www.surrey.ac.uk/sites/default/files/2025-10/code-of-practice-for-academic-partnerships-2025-26-new.pdf" TargetMode="External"/><Relationship Id="rId15" Type="http://schemas.openxmlformats.org/officeDocument/2006/relationships/hyperlink" Target="mailto:ieo@surrey.ac.uk" TargetMode="External"/><Relationship Id="rId23" Type="http://schemas.openxmlformats.org/officeDocument/2006/relationships/hyperlink" Target="mailto:regulations@surrey.ac.uk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egulations@surrey.ac.uk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qualitysupport@surrey.ac.uk" TargetMode="External"/><Relationship Id="rId14" Type="http://schemas.openxmlformats.org/officeDocument/2006/relationships/hyperlink" Target="https://surreynet.surrey.ac.uk/sites/default/files/2022-11/Initial%20Proposal%20Form%20for%20New%20Student%20Exchange%20Agreements%20.docx" TargetMode="External"/><Relationship Id="rId22" Type="http://schemas.openxmlformats.org/officeDocument/2006/relationships/hyperlink" Target="https://www.officeforstudents.org.uk/data-and-analysis/student-outcomes-data-dashboard/data-dashboard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329</Words>
  <Characters>2091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Reston, Svetlana Dr (AQS &amp; OSCAR)</dc:creator>
  <cp:keywords/>
  <dc:description/>
  <cp:lastModifiedBy>Reston, Casey (AQS &amp; OSCAR)</cp:lastModifiedBy>
  <cp:revision>3</cp:revision>
  <dcterms:created xsi:type="dcterms:W3CDTF">2026-02-02T14:17:00Z</dcterms:created>
  <dcterms:modified xsi:type="dcterms:W3CDTF">2026-02-02T15:01:00Z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77faab70-2d9c-4663-9da3-8de76db8e52f</vt:lpwstr>
  </property>
</Properties>
</file>